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4057F0D5" w14:textId="75B511F1" w:rsidR="006527FC" w:rsidRDefault="007E328A" w:rsidP="006527FC">
                            <w:pPr>
                              <w:jc w:val="center"/>
                              <w:rPr>
                                <w:rFonts w:eastAsia="Arial"/>
                                <w:b/>
                                <w:bCs/>
                                <w:sz w:val="21"/>
                                <w:szCs w:val="20"/>
                                <w:lang w:eastAsia="pt-BR"/>
                              </w:rPr>
                            </w:pPr>
                            <w:r w:rsidRPr="007E328A">
                              <w:rPr>
                                <w:rFonts w:eastAsia="Arial"/>
                                <w:b/>
                                <w:bCs/>
                                <w:sz w:val="21"/>
                                <w:szCs w:val="20"/>
                                <w:lang w:eastAsia="pt-BR"/>
                              </w:rPr>
                              <w:t>O PAPEL DA ENFERMAGEM NA EDUCAÇÃO SEXUAL DOS ADOLESCENTES NO ÂMBITO ESCOLAR</w:t>
                            </w:r>
                          </w:p>
                          <w:p w14:paraId="3E7E3D0B" w14:textId="77777777" w:rsidR="007E328A" w:rsidRPr="0086461D" w:rsidRDefault="007E328A" w:rsidP="006527FC">
                            <w:pPr>
                              <w:jc w:val="center"/>
                              <w:rPr>
                                <w:rFonts w:eastAsia="Arial"/>
                                <w:b/>
                                <w:bCs/>
                                <w:sz w:val="21"/>
                                <w:szCs w:val="20"/>
                                <w:lang w:eastAsia="pt-BR"/>
                              </w:rPr>
                            </w:pPr>
                          </w:p>
                          <w:p w14:paraId="53627FE5" w14:textId="064111CE" w:rsidR="00EC1491" w:rsidRPr="0086461D" w:rsidRDefault="007E328A" w:rsidP="007E328A">
                            <w:pPr>
                              <w:jc w:val="center"/>
                              <w:rPr>
                                <w:i/>
                                <w:iCs/>
                                <w:lang w:val="en-US"/>
                              </w:rPr>
                            </w:pPr>
                            <w:r w:rsidRPr="007E328A">
                              <w:rPr>
                                <w:rFonts w:eastAsia="Arial"/>
                                <w:b/>
                                <w:bCs/>
                                <w:i/>
                                <w:iCs/>
                                <w:sz w:val="21"/>
                                <w:szCs w:val="20"/>
                                <w:lang w:val="en-US" w:eastAsia="pt-BR"/>
                              </w:rPr>
                              <w:t>THE ROLE OF NURSING IN SEXUAL EDUCATION OF ADOLESCENTS IN THE SCHOOL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4057F0D5" w14:textId="75B511F1" w:rsidR="006527FC" w:rsidRDefault="007E328A" w:rsidP="006527FC">
                      <w:pPr>
                        <w:jc w:val="center"/>
                        <w:rPr>
                          <w:rFonts w:eastAsia="Arial"/>
                          <w:b/>
                          <w:bCs/>
                          <w:sz w:val="21"/>
                          <w:szCs w:val="20"/>
                          <w:lang w:eastAsia="pt-BR"/>
                        </w:rPr>
                      </w:pPr>
                      <w:r w:rsidRPr="007E328A">
                        <w:rPr>
                          <w:rFonts w:eastAsia="Arial"/>
                          <w:b/>
                          <w:bCs/>
                          <w:sz w:val="21"/>
                          <w:szCs w:val="20"/>
                          <w:lang w:eastAsia="pt-BR"/>
                        </w:rPr>
                        <w:t>O PAPEL DA ENFERMAGEM NA EDUCAÇÃO SEXUAL DOS ADOLESCENTES NO ÂMBITO ESCOLAR</w:t>
                      </w:r>
                    </w:p>
                    <w:p w14:paraId="3E7E3D0B" w14:textId="77777777" w:rsidR="007E328A" w:rsidRPr="0086461D" w:rsidRDefault="007E328A" w:rsidP="006527FC">
                      <w:pPr>
                        <w:jc w:val="center"/>
                        <w:rPr>
                          <w:rFonts w:eastAsia="Arial"/>
                          <w:b/>
                          <w:bCs/>
                          <w:sz w:val="21"/>
                          <w:szCs w:val="20"/>
                          <w:lang w:eastAsia="pt-BR"/>
                        </w:rPr>
                      </w:pPr>
                    </w:p>
                    <w:p w14:paraId="53627FE5" w14:textId="064111CE" w:rsidR="00EC1491" w:rsidRPr="0086461D" w:rsidRDefault="007E328A" w:rsidP="007E328A">
                      <w:pPr>
                        <w:jc w:val="center"/>
                        <w:rPr>
                          <w:i/>
                          <w:iCs/>
                          <w:lang w:val="en-US"/>
                        </w:rPr>
                      </w:pPr>
                      <w:r w:rsidRPr="007E328A">
                        <w:rPr>
                          <w:rFonts w:eastAsia="Arial"/>
                          <w:b/>
                          <w:bCs/>
                          <w:i/>
                          <w:iCs/>
                          <w:sz w:val="21"/>
                          <w:szCs w:val="20"/>
                          <w:lang w:val="en-US" w:eastAsia="pt-BR"/>
                        </w:rPr>
                        <w:t>THE ROLE OF NURSING IN SEXUAL EDUCATION OF ADOLESCENTS IN THE SCHOOL SCOPE</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33E341B8" w14:textId="56F1416E" w:rsidR="006527FC" w:rsidRDefault="007E328A" w:rsidP="00EC1491">
      <w:pPr>
        <w:rPr>
          <w:sz w:val="20"/>
          <w:szCs w:val="20"/>
        </w:rPr>
      </w:pPr>
      <w:r w:rsidRPr="007E328A">
        <w:rPr>
          <w:sz w:val="20"/>
          <w:szCs w:val="20"/>
        </w:rPr>
        <w:t>Luana Santos De Sena</w:t>
      </w:r>
      <w:r w:rsidRPr="007E328A">
        <w:rPr>
          <w:sz w:val="20"/>
          <w:szCs w:val="20"/>
          <w:vertAlign w:val="superscript"/>
        </w:rPr>
        <w:t>1</w:t>
      </w:r>
      <w:r w:rsidRPr="0018171F">
        <w:rPr>
          <w:sz w:val="20"/>
          <w:szCs w:val="20"/>
        </w:rPr>
        <w:t xml:space="preserve">, </w:t>
      </w:r>
      <w:r w:rsidRPr="007E328A">
        <w:rPr>
          <w:sz w:val="20"/>
          <w:szCs w:val="20"/>
        </w:rPr>
        <w:t>Tatiany Oliveira Da Silva</w:t>
      </w:r>
      <w:r w:rsidRPr="007E328A">
        <w:rPr>
          <w:sz w:val="20"/>
          <w:szCs w:val="20"/>
          <w:vertAlign w:val="superscript"/>
        </w:rPr>
        <w:t>1</w:t>
      </w:r>
      <w:r w:rsidRPr="0018171F">
        <w:rPr>
          <w:sz w:val="20"/>
          <w:szCs w:val="20"/>
        </w:rPr>
        <w:t xml:space="preserve">, </w:t>
      </w:r>
      <w:r w:rsidRPr="007E328A">
        <w:rPr>
          <w:sz w:val="20"/>
          <w:szCs w:val="20"/>
        </w:rPr>
        <w:t>André Henrique Do Vale De Almeida</w:t>
      </w:r>
      <w:r>
        <w:rPr>
          <w:sz w:val="20"/>
          <w:szCs w:val="20"/>
          <w:vertAlign w:val="superscript"/>
        </w:rPr>
        <w:t>1</w:t>
      </w:r>
    </w:p>
    <w:p w14:paraId="39D15775" w14:textId="1BAB7391" w:rsidR="0018171F" w:rsidRDefault="0018171F" w:rsidP="00EC1491">
      <w:pPr>
        <w:rPr>
          <w:b/>
        </w:rPr>
      </w:pPr>
    </w:p>
    <w:p w14:paraId="1B7D48DC" w14:textId="3060E8D4" w:rsidR="007E328A" w:rsidRDefault="007E328A" w:rsidP="00EC1491">
      <w:pPr>
        <w:rPr>
          <w:b/>
        </w:rPr>
      </w:pPr>
    </w:p>
    <w:p w14:paraId="10D0DCBE" w14:textId="77777777" w:rsidR="007E328A" w:rsidRPr="006527FC" w:rsidRDefault="007E328A" w:rsidP="00EC1491">
      <w:pPr>
        <w:rPr>
          <w:b/>
        </w:rPr>
      </w:pPr>
    </w:p>
    <w:p w14:paraId="377505DE" w14:textId="77777777" w:rsidR="006527FC" w:rsidRPr="006527FC" w:rsidRDefault="006527FC" w:rsidP="006527FC">
      <w:pPr>
        <w:pStyle w:val="Rodap"/>
        <w:rPr>
          <w:b/>
          <w:sz w:val="18"/>
          <w:szCs w:val="18"/>
        </w:rPr>
      </w:pPr>
      <w:r w:rsidRPr="006527FC">
        <w:rPr>
          <w:b/>
          <w:sz w:val="18"/>
          <w:szCs w:val="18"/>
        </w:rPr>
        <w:t>RESUMO</w:t>
      </w:r>
    </w:p>
    <w:p w14:paraId="1F6EEAC5" w14:textId="77777777" w:rsidR="006527FC" w:rsidRPr="006527FC" w:rsidRDefault="006527FC" w:rsidP="006527FC">
      <w:pPr>
        <w:pStyle w:val="Rodap"/>
        <w:rPr>
          <w:b/>
          <w:sz w:val="18"/>
          <w:szCs w:val="18"/>
        </w:rPr>
      </w:pPr>
    </w:p>
    <w:p w14:paraId="31DEE5BE" w14:textId="4AA36D6D" w:rsidR="0018171F" w:rsidRDefault="007E328A" w:rsidP="006527FC">
      <w:pPr>
        <w:pStyle w:val="Rodap"/>
        <w:rPr>
          <w:bCs/>
          <w:sz w:val="18"/>
          <w:szCs w:val="18"/>
        </w:rPr>
      </w:pPr>
      <w:r w:rsidRPr="007E328A">
        <w:rPr>
          <w:bCs/>
          <w:sz w:val="18"/>
          <w:szCs w:val="18"/>
        </w:rPr>
        <w:t>Introdução: A adolescência é a fase de desenvolvimento humano em que os jovens experimentam novos comportamentos, neste período surgem as inquietações sobre sexualidades e as devidas mudanças corporais, fisiológicas, psicológicas e sociais onde as atividades sexuais acabam iniciando muito precocemente ficando expostos as vulnerabilidades de doenças e agravos que consequentemente colocam suas vidas em risco. Objetivo: compreender o papel da enfermagem na educação sexual dos adolescentes no âmbito escolar. Materiais e métodos: Estudo bibliográfico de natureza qualitativa através pesquisas realizadas bases de dados Literatura Latino-americana e do Caribe em Ciências da Saúde (LILACS), Scientifiv Eletronic Library Online (SCIELO), Bancos de dados da Enfermagem (BDENF), foram utilizadas as palavras-chave de acordo com os descritores do DeCS (Descritores em Ciência e Saúde), entre os anos de 2013 a 2020, na língua portuguesa e disponível integra. Resultados: Os estudos escolhidos demostram que a escola é um local privilegiado para troca de informações contribuindo em diferentes vertentes na orientação sobre educação sexual mostrando a importância do profissional em enfermagem está inserida nela para abordagem de temas de grande relevância para os adolescentes que estão em constante mudanças de comportamentos e descobertas. Considerações finais: Foi observado o quanto a enfermagem é importante e fundamental na orientação com os adolescentes frente a temática educação sexual, gerenciando ações que diminuam situações de risco a saúde potencializando assim vínculos de relações favoráveis com o ambiente escolar através de um diálogo sadio pelo viés da educação em saúde.</w:t>
      </w:r>
    </w:p>
    <w:p w14:paraId="7AA9BFD1" w14:textId="77777777" w:rsidR="007E328A" w:rsidRPr="006527FC" w:rsidRDefault="007E328A" w:rsidP="006527FC">
      <w:pPr>
        <w:pStyle w:val="Rodap"/>
        <w:rPr>
          <w:b/>
          <w:sz w:val="18"/>
          <w:szCs w:val="18"/>
        </w:rPr>
      </w:pPr>
    </w:p>
    <w:p w14:paraId="7E47D466" w14:textId="65AD4CBA" w:rsidR="006527FC" w:rsidRDefault="006527FC" w:rsidP="006527FC">
      <w:pPr>
        <w:pStyle w:val="Rodap"/>
        <w:rPr>
          <w:bCs/>
          <w:sz w:val="18"/>
          <w:szCs w:val="18"/>
        </w:rPr>
      </w:pPr>
      <w:r w:rsidRPr="006527FC">
        <w:rPr>
          <w:b/>
          <w:sz w:val="18"/>
          <w:szCs w:val="18"/>
        </w:rPr>
        <w:t xml:space="preserve">Palavras-chave: </w:t>
      </w:r>
      <w:r w:rsidR="007E328A" w:rsidRPr="007E328A">
        <w:rPr>
          <w:bCs/>
          <w:sz w:val="18"/>
          <w:szCs w:val="18"/>
        </w:rPr>
        <w:t>Educação. Sexualidade. Saúde do adolescente. Saúde escolar.</w:t>
      </w:r>
    </w:p>
    <w:p w14:paraId="44655AF4" w14:textId="37B122B1" w:rsidR="007E328A" w:rsidRDefault="007E328A" w:rsidP="006527FC">
      <w:pPr>
        <w:pStyle w:val="Rodap"/>
        <w:rPr>
          <w:b/>
          <w:sz w:val="18"/>
          <w:szCs w:val="18"/>
        </w:rPr>
      </w:pPr>
    </w:p>
    <w:p w14:paraId="218CA696" w14:textId="2BDF8A81" w:rsidR="007E328A" w:rsidRDefault="007E328A" w:rsidP="006527FC">
      <w:pPr>
        <w:pStyle w:val="Rodap"/>
        <w:rPr>
          <w:b/>
          <w:sz w:val="18"/>
          <w:szCs w:val="18"/>
        </w:rPr>
      </w:pPr>
    </w:p>
    <w:p w14:paraId="39D151AD" w14:textId="77777777" w:rsidR="007E328A" w:rsidRDefault="007E328A" w:rsidP="006527FC">
      <w:pPr>
        <w:pStyle w:val="Rodap"/>
        <w:rPr>
          <w:b/>
          <w:sz w:val="18"/>
          <w:szCs w:val="18"/>
        </w:rPr>
      </w:pPr>
    </w:p>
    <w:p w14:paraId="2DB9B934" w14:textId="77777777" w:rsidR="006527FC" w:rsidRPr="0018171F" w:rsidRDefault="006527FC" w:rsidP="006527FC">
      <w:pPr>
        <w:pStyle w:val="Rodap"/>
        <w:rPr>
          <w:b/>
          <w:i/>
          <w:iCs/>
          <w:sz w:val="18"/>
          <w:szCs w:val="18"/>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3E3D3622" w14:textId="6591746D" w:rsidR="0018171F" w:rsidRDefault="007E328A" w:rsidP="006527FC">
      <w:pPr>
        <w:pStyle w:val="Rodap"/>
        <w:rPr>
          <w:bCs/>
          <w:i/>
          <w:iCs/>
          <w:sz w:val="18"/>
          <w:szCs w:val="18"/>
          <w:lang w:val="en-US"/>
        </w:rPr>
      </w:pPr>
      <w:r w:rsidRPr="007E328A">
        <w:rPr>
          <w:bCs/>
          <w:i/>
          <w:iCs/>
          <w:sz w:val="18"/>
          <w:szCs w:val="18"/>
          <w:lang w:val="en-US"/>
        </w:rPr>
        <w:t>Introduction: Adolescence is the stage of human development in which young people experience new behaviors, during this period there are concerns about sexualities and the necessary bodily, physiological, psychological and social changes where sexual activities end up starting very early, exposing vulnerabilities to diseases. and injuries that consequently put their lives at risk. Objective: to understand the role of nursing in the sexual education of adolescents at school. Materials and methods: Qualitative bibliographic study through research carried out databases Latin American and Caribbean Literature in Health Sciences (LILACS), Scientifiv Electronic Library Online (SCIELO), Nursing Databases (BDENF), the keywords according to the DeCS descriptors (Descriptors in Science and Health), between the years 2013 to 2020, in Portuguese and available in full. Results: The chosen studies show that the school is a privileged place for exchanging information, contributing in different aspects to the orientation on sexual education, showing the importance of the nursing professional is inserted in it to address themes of great relevance for the adolescents who are in constant behavior changes and discoveries. Final considerations: It was observed how important and fundamental nursing is in the orientation with adolescents regarding the sexual education theme, managing actions that reduce health risk situations, thus enhancing bonds of favorable relations with the school environment through a healthy dialogue through the bias health education.</w:t>
      </w:r>
    </w:p>
    <w:p w14:paraId="182C553D" w14:textId="77777777" w:rsidR="007E328A" w:rsidRPr="006527FC" w:rsidRDefault="007E328A" w:rsidP="006527FC">
      <w:pPr>
        <w:pStyle w:val="Rodap"/>
        <w:rPr>
          <w:b/>
          <w:i/>
          <w:iCs/>
          <w:sz w:val="18"/>
          <w:szCs w:val="18"/>
          <w:lang w:val="en-US"/>
        </w:rPr>
      </w:pPr>
    </w:p>
    <w:p w14:paraId="4844CFDA" w14:textId="3208EE51" w:rsidR="0086461D" w:rsidRPr="0086461D" w:rsidRDefault="006527FC" w:rsidP="006527FC">
      <w:pPr>
        <w:pStyle w:val="Rodap"/>
        <w:rPr>
          <w:bCs/>
          <w:i/>
          <w:iCs/>
          <w:sz w:val="18"/>
          <w:szCs w:val="18"/>
          <w:lang w:val="en-US"/>
        </w:rPr>
      </w:pPr>
      <w:r w:rsidRPr="006527FC">
        <w:rPr>
          <w:b/>
          <w:i/>
          <w:iCs/>
          <w:sz w:val="18"/>
          <w:szCs w:val="18"/>
          <w:lang w:val="en-US"/>
        </w:rPr>
        <w:t xml:space="preserve">Keywords: </w:t>
      </w:r>
      <w:r w:rsidR="007E328A" w:rsidRPr="007E328A">
        <w:rPr>
          <w:bCs/>
          <w:i/>
          <w:iCs/>
          <w:sz w:val="18"/>
          <w:szCs w:val="18"/>
          <w:lang w:val="en-US"/>
        </w:rPr>
        <w:t>Education. Sexuality. Adolescent health. School health.</w:t>
      </w:r>
    </w:p>
    <w:p w14:paraId="006F2A97" w14:textId="1D73DA3B" w:rsidR="002A18AB" w:rsidRDefault="002A18AB" w:rsidP="0086461D">
      <w:pPr>
        <w:pStyle w:val="Rodap"/>
      </w:pPr>
      <w:r>
        <w:t>––––––––––––––––––––––––––––</w:t>
      </w:r>
    </w:p>
    <w:p w14:paraId="618E728E" w14:textId="77777777" w:rsidR="002A18AB" w:rsidRDefault="002A18AB" w:rsidP="002A18AB">
      <w:pPr>
        <w:pStyle w:val="Rodap"/>
      </w:pPr>
    </w:p>
    <w:p w14:paraId="747B24CD" w14:textId="2E373962" w:rsidR="0018171F" w:rsidRPr="0018171F" w:rsidRDefault="0018171F" w:rsidP="0018171F">
      <w:pPr>
        <w:rPr>
          <w:rFonts w:eastAsiaTheme="majorEastAsia"/>
          <w:sz w:val="20"/>
          <w:szCs w:val="20"/>
          <w:vertAlign w:val="superscript"/>
        </w:rPr>
      </w:pPr>
      <w:r w:rsidRPr="0018171F">
        <w:rPr>
          <w:rFonts w:eastAsiaTheme="majorEastAsia"/>
          <w:sz w:val="20"/>
          <w:szCs w:val="20"/>
          <w:vertAlign w:val="superscript"/>
        </w:rPr>
        <w:t>1</w:t>
      </w:r>
      <w:r>
        <w:rPr>
          <w:rFonts w:eastAsiaTheme="majorEastAsia"/>
          <w:sz w:val="20"/>
          <w:szCs w:val="20"/>
        </w:rPr>
        <w:t xml:space="preserve">Centro Universitário </w:t>
      </w:r>
      <w:r w:rsidRPr="0018171F">
        <w:rPr>
          <w:rFonts w:eastAsiaTheme="majorEastAsia"/>
          <w:sz w:val="20"/>
          <w:szCs w:val="20"/>
        </w:rPr>
        <w:t>Nobre (FAN), Feira de Santana – Bahia;</w:t>
      </w:r>
    </w:p>
    <w:p w14:paraId="7AF343AD" w14:textId="17A12EC9" w:rsidR="006527FC" w:rsidRDefault="006527FC" w:rsidP="0086461D">
      <w:pPr>
        <w:ind w:right="63"/>
        <w:rPr>
          <w:rFonts w:eastAsiaTheme="majorEastAsia"/>
          <w:sz w:val="20"/>
          <w:szCs w:val="20"/>
          <w:vertAlign w:val="superscript"/>
        </w:rPr>
      </w:pPr>
    </w:p>
    <w:p w14:paraId="1D8C81C1" w14:textId="77777777" w:rsidR="007E328A" w:rsidRDefault="007E328A" w:rsidP="0086461D">
      <w:pPr>
        <w:ind w:right="63"/>
        <w:rPr>
          <w:sz w:val="20"/>
          <w:szCs w:val="20"/>
        </w:rPr>
      </w:pPr>
    </w:p>
    <w:p w14:paraId="1AE11025" w14:textId="693A4198" w:rsidR="002551EC" w:rsidRDefault="002551EC" w:rsidP="0086461D">
      <w:pPr>
        <w:ind w:right="63"/>
        <w:rPr>
          <w:b/>
        </w:rPr>
        <w:sectPr w:rsidR="002551EC"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03947C34" w14:textId="713174FA" w:rsidR="006527FC" w:rsidRDefault="00EB7607" w:rsidP="0018171F">
      <w:pPr>
        <w:ind w:firstLine="708"/>
        <w:rPr>
          <w:rFonts w:cs="Arial"/>
          <w:sz w:val="20"/>
          <w:szCs w:val="20"/>
        </w:rPr>
      </w:pPr>
      <w:r w:rsidRPr="00EB7607">
        <w:rPr>
          <w:rFonts w:cs="Arial"/>
          <w:sz w:val="20"/>
          <w:szCs w:val="20"/>
        </w:rPr>
        <w:t>A adolescência é a fase de desenvolvimento humano em que os jovens experimentam novos comportamentos, pensamentos e concepções diferentes, caracterizando-se como uma época de incertezas, dúvidas e questionamentos. Neste período surgem as inquietações sobre sexualidades e as devidas mudanças corporais, fisiológicas, psicológicas e sociais onde as atividades sexuais acabam iniciando muito precocemente</w:t>
      </w:r>
      <w:r w:rsidR="00DB25AF" w:rsidRPr="00DB25AF">
        <w:rPr>
          <w:rFonts w:cs="Arial"/>
          <w:sz w:val="20"/>
          <w:szCs w:val="20"/>
          <w:vertAlign w:val="superscript"/>
        </w:rPr>
        <w:t>1</w:t>
      </w:r>
      <w:r w:rsidR="00DB25AF">
        <w:rPr>
          <w:rFonts w:cs="Arial"/>
          <w:sz w:val="20"/>
          <w:szCs w:val="20"/>
        </w:rPr>
        <w:t>.</w:t>
      </w:r>
    </w:p>
    <w:p w14:paraId="11619422" w14:textId="130557A1" w:rsidR="00DB25AF" w:rsidRDefault="00DB25AF" w:rsidP="0018171F">
      <w:pPr>
        <w:ind w:firstLine="708"/>
        <w:rPr>
          <w:rFonts w:cs="Arial"/>
          <w:sz w:val="20"/>
          <w:szCs w:val="20"/>
        </w:rPr>
      </w:pPr>
      <w:r w:rsidRPr="00DB25AF">
        <w:rPr>
          <w:rFonts w:cs="Arial"/>
          <w:sz w:val="20"/>
          <w:szCs w:val="20"/>
        </w:rPr>
        <w:t>No Brasil devido ao aumento de doenças, gestações indesejadas, paternidade precoce e aborto, dentre outros, iniciou-se projetos de políticas públicas no que se diz respeito a sexualidade e incluindo direitos sexuais e reprodutivos destes adolescentes, com objetivo de diminuir as consequências sexual e reprodutiva, já que o nível de conhecimentos dos adolescentes sobre prevenção não a assegura a ter um comportamento sexual saudável</w:t>
      </w:r>
      <w:r w:rsidRPr="00DB25AF">
        <w:rPr>
          <w:rFonts w:cs="Arial"/>
          <w:sz w:val="20"/>
          <w:szCs w:val="20"/>
          <w:vertAlign w:val="superscript"/>
        </w:rPr>
        <w:t>2</w:t>
      </w:r>
      <w:r>
        <w:rPr>
          <w:rFonts w:cs="Arial"/>
          <w:sz w:val="20"/>
          <w:szCs w:val="20"/>
        </w:rPr>
        <w:t>.</w:t>
      </w:r>
    </w:p>
    <w:p w14:paraId="4EFF7C9A" w14:textId="6A74DCD7" w:rsidR="00DB25AF" w:rsidRDefault="00DB25AF" w:rsidP="00DB25AF">
      <w:pPr>
        <w:ind w:firstLine="708"/>
        <w:rPr>
          <w:rFonts w:cs="Arial"/>
          <w:sz w:val="20"/>
          <w:szCs w:val="20"/>
        </w:rPr>
      </w:pPr>
      <w:r w:rsidRPr="00DB25AF">
        <w:rPr>
          <w:rFonts w:cs="Arial"/>
          <w:sz w:val="20"/>
          <w:szCs w:val="20"/>
        </w:rPr>
        <w:t>A Organização Mundial de Saúde (OMS), informa que faixa etária da adolescência se configura entre 10 a 19 anos, de acordo com Organizações das Nações Unidas (ONUS) a faixa etária entre 15 a 24 anos de idade e de acordo com o</w:t>
      </w:r>
      <w:r>
        <w:rPr>
          <w:rFonts w:cs="Arial"/>
          <w:sz w:val="20"/>
          <w:szCs w:val="20"/>
        </w:rPr>
        <w:t xml:space="preserve"> </w:t>
      </w:r>
      <w:r w:rsidRPr="00DB25AF">
        <w:rPr>
          <w:rFonts w:cs="Arial"/>
          <w:sz w:val="20"/>
          <w:szCs w:val="20"/>
        </w:rPr>
        <w:t>Estatuto da Criança e do Adolescente (ECA), conforme a Lei 8.069, de 1990, a faixa etária é de 12 a 18 anos de idade</w:t>
      </w:r>
      <w:r w:rsidRPr="00DB25AF">
        <w:rPr>
          <w:rFonts w:cs="Arial"/>
          <w:sz w:val="20"/>
          <w:szCs w:val="20"/>
          <w:vertAlign w:val="superscript"/>
        </w:rPr>
        <w:t>3</w:t>
      </w:r>
      <w:r>
        <w:rPr>
          <w:rFonts w:cs="Arial"/>
          <w:sz w:val="20"/>
          <w:szCs w:val="20"/>
        </w:rPr>
        <w:t>.</w:t>
      </w:r>
    </w:p>
    <w:p w14:paraId="204923B6" w14:textId="07D480C8" w:rsidR="00DB25AF" w:rsidRDefault="00DB25AF" w:rsidP="00DB25AF">
      <w:pPr>
        <w:ind w:firstLine="708"/>
        <w:rPr>
          <w:rFonts w:cs="Arial"/>
          <w:sz w:val="20"/>
          <w:szCs w:val="20"/>
        </w:rPr>
      </w:pPr>
      <w:r w:rsidRPr="00DB25AF">
        <w:rPr>
          <w:rFonts w:cs="Arial"/>
          <w:sz w:val="20"/>
          <w:szCs w:val="20"/>
        </w:rPr>
        <w:t>Quando se fala em sexualidade o primeiro pensamento irá remeter ao ato sexual, entretanto o conceito da palavra abrange muito além. Sexualidade emite um ato de amor, de conhecer seu próprio corpo, dos sentimentos e emoções, da sua saúde física e mental. Por definição, a educação em saúde sexual é a habilidade para expressar sua sexualidade sem riscos de contrair Infecções Sexualmente Transmissíveis (IST’S), gravidez indesejada e evitar violência sexual</w:t>
      </w:r>
      <w:r w:rsidRPr="00DB25AF">
        <w:rPr>
          <w:rFonts w:cs="Arial"/>
          <w:sz w:val="20"/>
          <w:szCs w:val="20"/>
          <w:vertAlign w:val="superscript"/>
        </w:rPr>
        <w:t>4</w:t>
      </w:r>
      <w:r>
        <w:rPr>
          <w:rFonts w:cs="Arial"/>
          <w:sz w:val="20"/>
          <w:szCs w:val="20"/>
        </w:rPr>
        <w:t>.</w:t>
      </w:r>
    </w:p>
    <w:p w14:paraId="7E5D2BE7" w14:textId="79BA03BF" w:rsidR="00DB25AF" w:rsidRDefault="00DB25AF" w:rsidP="00DB25AF">
      <w:pPr>
        <w:ind w:firstLine="708"/>
        <w:rPr>
          <w:rFonts w:cs="Arial"/>
          <w:sz w:val="20"/>
          <w:szCs w:val="20"/>
        </w:rPr>
      </w:pPr>
      <w:r w:rsidRPr="00DB25AF">
        <w:rPr>
          <w:rFonts w:cs="Arial"/>
          <w:sz w:val="20"/>
          <w:szCs w:val="20"/>
        </w:rPr>
        <w:t>Para os adolescentes é um assunto difícil e por conta disso é um tema pouco abordado sendo no ambiente familiar ou na escola. Entende-se que é complexo, pois o mesmo envolve diversos fatores, tais como: os educadores, a família, a enfermagem, a equipe multidisciplinar e até mesmo o próprio adolescente. Quando essa abordagem é feita adequadamente ela pode quebrar tabus, e o preconceito tem a tendência de diminuir</w:t>
      </w:r>
      <w:r w:rsidRPr="00DB25AF">
        <w:rPr>
          <w:rFonts w:cs="Arial"/>
          <w:sz w:val="20"/>
          <w:szCs w:val="20"/>
          <w:vertAlign w:val="superscript"/>
        </w:rPr>
        <w:t>1</w:t>
      </w:r>
      <w:r>
        <w:rPr>
          <w:rFonts w:cs="Arial"/>
          <w:sz w:val="20"/>
          <w:szCs w:val="20"/>
        </w:rPr>
        <w:t>.</w:t>
      </w:r>
    </w:p>
    <w:p w14:paraId="702EA32E" w14:textId="486530A3" w:rsidR="00DB25AF" w:rsidRDefault="00DB25AF" w:rsidP="00DB25AF">
      <w:pPr>
        <w:ind w:firstLine="708"/>
        <w:rPr>
          <w:rFonts w:cs="Arial"/>
          <w:sz w:val="20"/>
          <w:szCs w:val="20"/>
        </w:rPr>
      </w:pPr>
      <w:r w:rsidRPr="00DB25AF">
        <w:rPr>
          <w:rFonts w:cs="Arial"/>
          <w:sz w:val="20"/>
          <w:szCs w:val="20"/>
        </w:rPr>
        <w:t xml:space="preserve">A escola é um espaço aberto de aprendizagem em diferentes vertentes, contribuindo para construção de novo saberes </w:t>
      </w:r>
      <w:r w:rsidRPr="00DB25AF">
        <w:rPr>
          <w:rFonts w:cs="Arial"/>
          <w:sz w:val="20"/>
          <w:szCs w:val="20"/>
        </w:rPr>
        <w:t>e desenvolvendo um papel de suma importância na formação psicossocial, agregando valores e possibilitando acesso às políticas públicas em diferentes contextos sociais. A mesma reflete regras sociais para construção de um indivíduo como transmissor de informações e no desenvolvimento da autonomia e de competência para o exercício pleno da cidadania</w:t>
      </w:r>
      <w:r w:rsidRPr="00DB25AF">
        <w:rPr>
          <w:rFonts w:cs="Arial"/>
          <w:sz w:val="20"/>
          <w:szCs w:val="20"/>
          <w:vertAlign w:val="superscript"/>
        </w:rPr>
        <w:t>5</w:t>
      </w:r>
      <w:r>
        <w:rPr>
          <w:rFonts w:cs="Arial"/>
          <w:sz w:val="20"/>
          <w:szCs w:val="20"/>
        </w:rPr>
        <w:t>.</w:t>
      </w:r>
    </w:p>
    <w:p w14:paraId="6D07BD32" w14:textId="1B663ACD" w:rsidR="00DB25AF" w:rsidRDefault="00DB25AF" w:rsidP="00DB25AF">
      <w:pPr>
        <w:ind w:firstLine="708"/>
        <w:rPr>
          <w:rFonts w:cs="Arial"/>
          <w:sz w:val="20"/>
          <w:szCs w:val="20"/>
        </w:rPr>
      </w:pPr>
      <w:r w:rsidRPr="00DB25AF">
        <w:rPr>
          <w:rFonts w:cs="Arial"/>
          <w:sz w:val="20"/>
          <w:szCs w:val="20"/>
        </w:rPr>
        <w:t>Ressalta-se que ambiente escolar deve ser um dos provedores de promoção a saúde, por ser um local que os adolescentes passam maior parte do tempo sugere um dos lugares ideais para abordar a educação sexual. Por haver uma falta de habilidade e uma grande resistência por parte dos educadores sobre a temática, a enfermagem destaca-se por possuir habilidade para educação em saúde. Tendo uma dificuldade em ativar esses jovens no Programa de Saúde da Família (PSF), o Ministério da Saúde e da Educação em 2007 criou o Programa Saúde na Escola (PSE), que viabiliza a promoção, prevenção em saúde das crianças e adolescentes</w:t>
      </w:r>
      <w:r w:rsidRPr="00DB25AF">
        <w:rPr>
          <w:rFonts w:cs="Arial"/>
          <w:sz w:val="20"/>
          <w:szCs w:val="20"/>
          <w:vertAlign w:val="superscript"/>
        </w:rPr>
        <w:t>1,6</w:t>
      </w:r>
      <w:r>
        <w:rPr>
          <w:rFonts w:cs="Arial"/>
          <w:sz w:val="20"/>
          <w:szCs w:val="20"/>
        </w:rPr>
        <w:t>.</w:t>
      </w:r>
    </w:p>
    <w:p w14:paraId="3BEA9015" w14:textId="5BA0A028" w:rsidR="00DB25AF" w:rsidRPr="00DB25AF" w:rsidRDefault="00DB25AF" w:rsidP="00DB25AF">
      <w:pPr>
        <w:ind w:firstLine="708"/>
        <w:rPr>
          <w:rFonts w:cs="Arial"/>
          <w:sz w:val="20"/>
          <w:szCs w:val="20"/>
        </w:rPr>
      </w:pPr>
      <w:r w:rsidRPr="00DB25AF">
        <w:rPr>
          <w:rFonts w:cs="Arial"/>
          <w:sz w:val="20"/>
          <w:szCs w:val="20"/>
        </w:rPr>
        <w:t>Ao aborda essa temática surgiu o interesse de aprofundar e compreender sobre o assunto, visto que ainda é pouco discutido no grupo familiar e principalmente nas escolas acarretando consequências</w:t>
      </w:r>
      <w:r>
        <w:rPr>
          <w:rFonts w:cs="Arial"/>
          <w:sz w:val="20"/>
          <w:szCs w:val="20"/>
        </w:rPr>
        <w:t xml:space="preserve">. </w:t>
      </w:r>
      <w:r w:rsidRPr="00DB25AF">
        <w:rPr>
          <w:rFonts w:cs="Arial"/>
          <w:sz w:val="20"/>
          <w:szCs w:val="20"/>
        </w:rPr>
        <w:t>Deste modo é fundamental a participação da enfermagem enquanto mediadora de uma equipe multiprofissional que tem como atribuição a promoção e prevenção da saúde desses adolescentes implementando ações educativas que colabore para sensibilização dos mesmos. Diante do exposto, esse estudo tem como objetivo compreender o papel da enfermagem na educação sexual dos adolescentes no âmbito escolar.</w:t>
      </w:r>
    </w:p>
    <w:p w14:paraId="1EC5121A" w14:textId="77777777" w:rsidR="0018171F" w:rsidRPr="006527FC" w:rsidRDefault="0018171F" w:rsidP="0018171F">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0F3EE328" w14:textId="1DB708AE" w:rsidR="006527FC" w:rsidRDefault="00F31D35" w:rsidP="00F31D35">
      <w:pPr>
        <w:spacing w:after="0"/>
        <w:ind w:firstLine="709"/>
        <w:rPr>
          <w:rFonts w:cs="Arial"/>
          <w:sz w:val="20"/>
          <w:szCs w:val="20"/>
        </w:rPr>
      </w:pPr>
      <w:r w:rsidRPr="00F31D35">
        <w:rPr>
          <w:rFonts w:cs="Arial"/>
          <w:sz w:val="20"/>
          <w:szCs w:val="20"/>
        </w:rPr>
        <w:t>Trata-se de um estudo bibliográfico de natureza qualitativa onde emprega um estudo exploratório e descritivo, utilizando-se de bibliografia virtual, com apreciação qualitativa intrínseca ao tema em questão, visando identificar os documentos e publicações cientificas que enfocam o tema proposto.</w:t>
      </w:r>
    </w:p>
    <w:p w14:paraId="11D4B775" w14:textId="16850C02" w:rsidR="00F31D35" w:rsidRDefault="00F31D35" w:rsidP="00F31D35">
      <w:pPr>
        <w:spacing w:after="0"/>
        <w:ind w:firstLine="709"/>
        <w:rPr>
          <w:rFonts w:cs="Arial"/>
          <w:sz w:val="20"/>
          <w:szCs w:val="20"/>
        </w:rPr>
      </w:pPr>
      <w:r w:rsidRPr="00F31D35">
        <w:rPr>
          <w:rFonts w:cs="Arial"/>
          <w:sz w:val="20"/>
          <w:szCs w:val="20"/>
        </w:rPr>
        <w:t xml:space="preserve">Para busca dos dados utilizou-se as bases de dados eletrônicos: Literatura Latino-americana e do Caribe em Ciências da Saúde (LILACS), Scientifiv Eletronic Library Online (SCIELO), Bancos de dados da Enfermagem (BDENF), foi utilizado as seguintes palavras chaves de acordo com os Descritores em Ciência da Saúde (DeCS): Educação, </w:t>
      </w:r>
      <w:r w:rsidRPr="00F31D35">
        <w:rPr>
          <w:rFonts w:cs="Arial"/>
          <w:sz w:val="20"/>
          <w:szCs w:val="20"/>
        </w:rPr>
        <w:lastRenderedPageBreak/>
        <w:t>Sexualidade, Saúde do Adolescente, Saúde Escolar. Foi utilizado o operador booleano AND para fazer as pesquisas nas bases de dados, da seguinte forma: educação AND sexualidade AND saúde do adolescente AND saúde escolar.</w:t>
      </w:r>
    </w:p>
    <w:p w14:paraId="22BED9E8" w14:textId="77777777" w:rsidR="00F31D35" w:rsidRDefault="00F31D35" w:rsidP="00F31D35">
      <w:pPr>
        <w:spacing w:after="0"/>
        <w:ind w:firstLine="709"/>
        <w:rPr>
          <w:rFonts w:cs="Arial"/>
          <w:sz w:val="20"/>
          <w:szCs w:val="20"/>
        </w:rPr>
      </w:pPr>
      <w:r w:rsidRPr="00F31D35">
        <w:rPr>
          <w:rFonts w:cs="Arial"/>
          <w:sz w:val="20"/>
          <w:szCs w:val="20"/>
        </w:rPr>
        <w:t xml:space="preserve">Foi utilizada como técnica de análise de dados a análise de conteúdo de Bardin que compreende como um conjunto de técnicas como forma de executar a análise de conteúdo por meio de documentos. A análise de conteúdo é uma união de técnicas, onde se utiliza procedimentos sistemáticos, tendo como objetivo a um detalhamento do conteúdo. As informações foram organizadas tendo como referência as diferentes fases de análise de conteúdo em torno de três polos cronológicos: </w:t>
      </w:r>
    </w:p>
    <w:p w14:paraId="092A608D" w14:textId="58291EFC" w:rsidR="00F31D35" w:rsidRDefault="00F31D35" w:rsidP="00F31D35">
      <w:pPr>
        <w:spacing w:after="0"/>
        <w:rPr>
          <w:rFonts w:cs="Arial"/>
          <w:sz w:val="20"/>
          <w:szCs w:val="20"/>
        </w:rPr>
      </w:pPr>
      <w:r w:rsidRPr="00F31D35">
        <w:rPr>
          <w:rFonts w:cs="Arial"/>
          <w:sz w:val="20"/>
          <w:szCs w:val="20"/>
        </w:rPr>
        <w:t>a pré-análise, a exploração do material e o tratamento dos resultados, inferência e interpretação</w:t>
      </w:r>
      <w:r w:rsidRPr="00F31D35">
        <w:rPr>
          <w:rFonts w:cs="Arial"/>
          <w:sz w:val="20"/>
          <w:szCs w:val="20"/>
          <w:vertAlign w:val="superscript"/>
        </w:rPr>
        <w:t>7</w:t>
      </w:r>
      <w:r>
        <w:rPr>
          <w:rFonts w:cs="Arial"/>
          <w:sz w:val="20"/>
          <w:szCs w:val="20"/>
        </w:rPr>
        <w:t>.</w:t>
      </w:r>
    </w:p>
    <w:p w14:paraId="3C9687CF" w14:textId="12BE9212" w:rsidR="00F31D35" w:rsidRDefault="00F31D35" w:rsidP="00F31D35">
      <w:pPr>
        <w:spacing w:after="0"/>
        <w:ind w:firstLine="709"/>
        <w:rPr>
          <w:rFonts w:cs="Arial"/>
          <w:sz w:val="20"/>
          <w:szCs w:val="20"/>
        </w:rPr>
      </w:pPr>
      <w:r w:rsidRPr="00F31D35">
        <w:rPr>
          <w:rFonts w:cs="Arial"/>
          <w:sz w:val="20"/>
          <w:szCs w:val="20"/>
        </w:rPr>
        <w:t>O presente estudo mesmo sendo de revisão bibliográfica respeitará as diretrizes e critérios que foram estabelecidos na Resolução 466/142 do Conselho Nacional de Saúde (CNS). Os preceitos éticos determinados no que se refere a zelar pela autenticidade das informações, privacidade, segurança e sigilo das informações, e quando necessário os resultados se tornaram públicos</w:t>
      </w:r>
      <w:r w:rsidRPr="00F31D35">
        <w:rPr>
          <w:rFonts w:cs="Arial"/>
          <w:sz w:val="20"/>
          <w:szCs w:val="20"/>
          <w:vertAlign w:val="superscript"/>
        </w:rPr>
        <w:t>8</w:t>
      </w:r>
      <w:r>
        <w:rPr>
          <w:rFonts w:cs="Arial"/>
          <w:sz w:val="20"/>
          <w:szCs w:val="20"/>
        </w:rPr>
        <w:t>.</w:t>
      </w:r>
    </w:p>
    <w:p w14:paraId="33F683DF" w14:textId="60BFFD20" w:rsidR="00F31D35" w:rsidRDefault="00556AC7" w:rsidP="00F31D35">
      <w:pPr>
        <w:spacing w:after="0"/>
        <w:ind w:firstLine="709"/>
        <w:rPr>
          <w:rFonts w:cs="Arial"/>
          <w:sz w:val="20"/>
          <w:szCs w:val="20"/>
        </w:rPr>
      </w:pPr>
      <w:r w:rsidRPr="00556AC7">
        <w:rPr>
          <w:rFonts w:cs="Arial"/>
          <w:sz w:val="20"/>
          <w:szCs w:val="20"/>
        </w:rPr>
        <w:t>Por intermédio dos bancos de dados descritos acima, a pesquisa foi feita com um acervo teórico das publicações, tendo identificado incialmente 43 artigos. Após a aplicação dos critérios de elegibilidades restaram 09 artigos para construção deste presente trabalho</w:t>
      </w:r>
      <w:r>
        <w:rPr>
          <w:rFonts w:cs="Arial"/>
          <w:sz w:val="20"/>
          <w:szCs w:val="20"/>
        </w:rPr>
        <w:t xml:space="preserve"> (Figura 1)</w:t>
      </w:r>
      <w:r w:rsidRPr="00556AC7">
        <w:rPr>
          <w:rFonts w:cs="Arial"/>
          <w:sz w:val="20"/>
          <w:szCs w:val="20"/>
        </w:rPr>
        <w:t>.</w:t>
      </w:r>
    </w:p>
    <w:p w14:paraId="038B8E5B" w14:textId="592C04C6" w:rsidR="00556AC7" w:rsidRDefault="00556AC7" w:rsidP="00556AC7">
      <w:pPr>
        <w:spacing w:after="0"/>
        <w:rPr>
          <w:rFonts w:cs="Arial"/>
          <w:sz w:val="20"/>
          <w:szCs w:val="20"/>
        </w:rPr>
      </w:pPr>
    </w:p>
    <w:p w14:paraId="08C01366" w14:textId="2D09BC28" w:rsidR="00832469" w:rsidRPr="00832469" w:rsidRDefault="00832469" w:rsidP="00556AC7">
      <w:pPr>
        <w:spacing w:after="0"/>
        <w:rPr>
          <w:rFonts w:cs="Arial"/>
          <w:b/>
          <w:bCs/>
          <w:sz w:val="20"/>
          <w:szCs w:val="20"/>
        </w:rPr>
      </w:pPr>
      <w:r w:rsidRPr="00832469">
        <w:rPr>
          <w:rFonts w:cs="Arial"/>
          <w:b/>
          <w:bCs/>
          <w:sz w:val="20"/>
          <w:szCs w:val="20"/>
        </w:rPr>
        <w:t>RESULTADOS</w:t>
      </w:r>
    </w:p>
    <w:p w14:paraId="217FB72E" w14:textId="69841C6D" w:rsidR="00556AC7" w:rsidRDefault="00556AC7" w:rsidP="00556AC7">
      <w:pPr>
        <w:spacing w:after="0"/>
        <w:rPr>
          <w:rFonts w:cs="Arial"/>
          <w:sz w:val="20"/>
          <w:szCs w:val="20"/>
        </w:rPr>
      </w:pPr>
    </w:p>
    <w:p w14:paraId="0C436FE5" w14:textId="493DB25A" w:rsidR="00832469" w:rsidRDefault="00832469" w:rsidP="00832469">
      <w:pPr>
        <w:spacing w:after="0"/>
        <w:ind w:firstLine="709"/>
        <w:rPr>
          <w:rFonts w:cs="Arial"/>
          <w:sz w:val="20"/>
          <w:szCs w:val="20"/>
        </w:rPr>
      </w:pPr>
      <w:r w:rsidRPr="00832469">
        <w:rPr>
          <w:rFonts w:cs="Arial"/>
          <w:sz w:val="20"/>
          <w:szCs w:val="20"/>
        </w:rPr>
        <w:t>Mediante as buscas realizadas nas bases de dados citadas anteriormente, identificou-se inicialmente 43 artigos. Através dos critérios elegibilidade das etapas para seleções dos artigos, foram selecionados 09 artigos para construção e incluídos nessa revisão conforme o (quadro 1). Dos 09 artigos selecionado, todos são de língua portuguesa, sendo elaborados no Brasil, tendo em vista que 08 artigos são de pesquisa de campo, 01 de estudo exploratório documental.</w:t>
      </w:r>
    </w:p>
    <w:p w14:paraId="5EF014FD" w14:textId="41914896" w:rsidR="00832469" w:rsidRDefault="00832469" w:rsidP="00832469">
      <w:pPr>
        <w:spacing w:after="0"/>
        <w:ind w:firstLine="709"/>
        <w:rPr>
          <w:rFonts w:cs="Arial"/>
          <w:sz w:val="20"/>
          <w:szCs w:val="20"/>
        </w:rPr>
      </w:pPr>
      <w:r w:rsidRPr="00832469">
        <w:rPr>
          <w:rFonts w:cs="Arial"/>
          <w:sz w:val="20"/>
          <w:szCs w:val="20"/>
        </w:rPr>
        <w:t>De acordo com a categoria de profissionais destes 09 artigos, observou-se que um autor tem a graduação em medicina, um autor graduação em farmácia, os demais artigos todos os autores são enfermeiros ou graduandos em enfermagem, também tendo a titulação de mestrado, doutorado e pós-graduação.</w:t>
      </w:r>
    </w:p>
    <w:p w14:paraId="7D9A817F" w14:textId="6C9D9512" w:rsidR="00832469" w:rsidRDefault="00832469" w:rsidP="00832469">
      <w:pPr>
        <w:spacing w:after="0"/>
        <w:ind w:firstLine="709"/>
        <w:rPr>
          <w:rFonts w:cs="Arial"/>
          <w:sz w:val="20"/>
          <w:szCs w:val="20"/>
        </w:rPr>
      </w:pPr>
      <w:r w:rsidRPr="00832469">
        <w:rPr>
          <w:rFonts w:cs="Arial"/>
          <w:sz w:val="20"/>
          <w:szCs w:val="20"/>
        </w:rPr>
        <w:t xml:space="preserve">Ressalta-se que os 08 artigos de estudo de campo, foram realizados em escolas </w:t>
      </w:r>
      <w:r w:rsidRPr="00832469">
        <w:rPr>
          <w:rFonts w:cs="Arial"/>
          <w:sz w:val="20"/>
          <w:szCs w:val="20"/>
        </w:rPr>
        <w:t>públicas de ensino fundamental e médio com adolescentes diversas escolaridades e alguns docentes, destacando que um destes estudos ocorreu no Instituto Federal Fluminense (IFF) do Campus Campos Guarus, com alunos várias idades do ensino médio (1°, 2°, 3° ano dos cursos técnico).</w:t>
      </w:r>
    </w:p>
    <w:p w14:paraId="746CCFFE" w14:textId="72D4C17F" w:rsidR="00832469" w:rsidRDefault="00832469" w:rsidP="00832469">
      <w:pPr>
        <w:spacing w:after="0"/>
        <w:ind w:firstLine="709"/>
        <w:rPr>
          <w:rFonts w:cs="Arial"/>
          <w:sz w:val="20"/>
          <w:szCs w:val="20"/>
        </w:rPr>
      </w:pPr>
      <w:r w:rsidRPr="00832469">
        <w:rPr>
          <w:rFonts w:cs="Arial"/>
          <w:sz w:val="20"/>
          <w:szCs w:val="20"/>
        </w:rPr>
        <w:t>Vale ressalta que os artigos foram publicados nas seguintes revistas: Revista de Pesquisa (Universidade Federal do Estado do Rio de Janeiro), Revista de Enfermagem da Universidade Federal de Pernambuco, Revista Brasileira de Enfermagem, Revista de Enfermagem USFM, Revista Gaúcha de Enfermagem, Revista APS, Revista Mineira de Enfermagem (REME) e duas teses de mestrado foram publicadas na Biblioteca da Escola de Enfermagem da Universidade Federal Fluminense.</w:t>
      </w:r>
    </w:p>
    <w:p w14:paraId="04AA3895" w14:textId="1149521F" w:rsidR="00832469" w:rsidRDefault="00832469" w:rsidP="00832469">
      <w:pPr>
        <w:spacing w:after="0"/>
        <w:rPr>
          <w:rFonts w:cs="Arial"/>
          <w:sz w:val="20"/>
          <w:szCs w:val="20"/>
        </w:rPr>
      </w:pPr>
    </w:p>
    <w:p w14:paraId="44E02642" w14:textId="03B33CAE" w:rsidR="00832469" w:rsidRDefault="00832469" w:rsidP="00832469">
      <w:pPr>
        <w:spacing w:after="0"/>
        <w:rPr>
          <w:rFonts w:cs="Arial"/>
          <w:b/>
          <w:bCs/>
          <w:sz w:val="20"/>
          <w:szCs w:val="20"/>
        </w:rPr>
      </w:pPr>
      <w:r>
        <w:rPr>
          <w:rFonts w:cs="Arial"/>
          <w:b/>
          <w:bCs/>
          <w:sz w:val="20"/>
          <w:szCs w:val="20"/>
        </w:rPr>
        <w:t>DISCUSSÃO</w:t>
      </w:r>
    </w:p>
    <w:p w14:paraId="0E2B9C95" w14:textId="3A22AA8A" w:rsidR="00832469" w:rsidRDefault="00832469" w:rsidP="00832469">
      <w:pPr>
        <w:spacing w:after="0"/>
        <w:rPr>
          <w:rFonts w:cs="Arial"/>
          <w:b/>
          <w:bCs/>
          <w:sz w:val="20"/>
          <w:szCs w:val="20"/>
        </w:rPr>
      </w:pPr>
    </w:p>
    <w:p w14:paraId="5EF542A1" w14:textId="4890A1CC" w:rsidR="00832469" w:rsidRPr="00832469" w:rsidRDefault="00832469" w:rsidP="00832469">
      <w:pPr>
        <w:spacing w:after="0"/>
        <w:ind w:firstLine="709"/>
        <w:rPr>
          <w:rFonts w:cs="Arial"/>
          <w:sz w:val="20"/>
          <w:szCs w:val="20"/>
        </w:rPr>
      </w:pPr>
      <w:r w:rsidRPr="00832469">
        <w:rPr>
          <w:rFonts w:cs="Arial"/>
          <w:sz w:val="20"/>
          <w:szCs w:val="20"/>
        </w:rPr>
        <w:t>Evidenciou-se a partir dos artigos que para uma melhor discussão dos mesmos, elencou-se em três categorias a seguir.</w:t>
      </w:r>
    </w:p>
    <w:p w14:paraId="0E6A43C8" w14:textId="6F9BF083" w:rsidR="00F31D35" w:rsidRDefault="00F31D35" w:rsidP="0018171F">
      <w:pPr>
        <w:spacing w:after="0"/>
        <w:rPr>
          <w:rFonts w:cs="Arial"/>
          <w:sz w:val="20"/>
          <w:szCs w:val="20"/>
        </w:rPr>
      </w:pPr>
    </w:p>
    <w:p w14:paraId="4C66D6E3" w14:textId="5F7E7867" w:rsidR="00832469" w:rsidRDefault="00832469" w:rsidP="0018171F">
      <w:pPr>
        <w:spacing w:after="0"/>
        <w:rPr>
          <w:rFonts w:cs="Arial"/>
          <w:sz w:val="20"/>
          <w:szCs w:val="20"/>
        </w:rPr>
      </w:pPr>
      <w:r w:rsidRPr="00832469">
        <w:rPr>
          <w:rFonts w:cs="Arial"/>
          <w:sz w:val="20"/>
          <w:szCs w:val="20"/>
        </w:rPr>
        <w:t>A ADOLESCÊNCIA: MUDANÇAS E DESCOBERTAS</w:t>
      </w:r>
    </w:p>
    <w:p w14:paraId="2C4E6431" w14:textId="77777777" w:rsidR="008374D3" w:rsidRDefault="008374D3" w:rsidP="0018171F">
      <w:pPr>
        <w:spacing w:after="0"/>
        <w:rPr>
          <w:rFonts w:cs="Arial"/>
          <w:sz w:val="20"/>
          <w:szCs w:val="20"/>
        </w:rPr>
      </w:pPr>
    </w:p>
    <w:p w14:paraId="11DDE694" w14:textId="017FEF06" w:rsidR="00832469" w:rsidRDefault="008374D3" w:rsidP="008374D3">
      <w:pPr>
        <w:spacing w:after="0"/>
        <w:ind w:firstLine="709"/>
        <w:rPr>
          <w:rFonts w:cs="Arial"/>
          <w:sz w:val="20"/>
          <w:szCs w:val="20"/>
        </w:rPr>
      </w:pPr>
      <w:r w:rsidRPr="008374D3">
        <w:rPr>
          <w:rFonts w:cs="Arial"/>
          <w:sz w:val="20"/>
          <w:szCs w:val="20"/>
        </w:rPr>
        <w:t>Compreendemos que adolescência é uma transição entre infância e a idade adulta, caracteriza-se por ser uma fase turbulenta e geralmente é difícil de se passar, nela acontece as mudanças corporais devido ao aumento das interações hormonais. E é nesta fase que o adolescente comumente tem uma facilidade em ser influenciado, seja por mídia, amigos dentre outros, tornando o assim vulnerável e consequentemente tendo comportamentos irresponsáveis</w:t>
      </w:r>
      <w:r w:rsidRPr="008374D3">
        <w:rPr>
          <w:rFonts w:cs="Arial"/>
          <w:sz w:val="20"/>
          <w:szCs w:val="20"/>
          <w:vertAlign w:val="superscript"/>
        </w:rPr>
        <w:t>9</w:t>
      </w:r>
      <w:r>
        <w:rPr>
          <w:rFonts w:cs="Arial"/>
          <w:sz w:val="20"/>
          <w:szCs w:val="20"/>
        </w:rPr>
        <w:t>.</w:t>
      </w:r>
    </w:p>
    <w:p w14:paraId="240169E3" w14:textId="192E2996" w:rsidR="008374D3" w:rsidRDefault="008374D3" w:rsidP="008374D3">
      <w:pPr>
        <w:spacing w:after="0"/>
        <w:ind w:firstLine="709"/>
        <w:rPr>
          <w:rFonts w:cs="Arial"/>
          <w:sz w:val="20"/>
          <w:szCs w:val="20"/>
        </w:rPr>
      </w:pPr>
      <w:r w:rsidRPr="008374D3">
        <w:rPr>
          <w:rFonts w:cs="Arial"/>
          <w:sz w:val="20"/>
          <w:szCs w:val="20"/>
        </w:rPr>
        <w:t>A sexualidade é um momento de diversas descobertas, sensações e experiências que para os adolescentes devem ser experimentadas da forma mais intensa possível, os mesmos tendem a sentir uma liberdade para a tomada de decisões de maneira impulsiva, sendo que essas decisões podem ser influenciadas pelo meio o qual ele vive e por conta de todos esses anseios eles acabam ficando propícios as IST’s, gravidez indesejada</w:t>
      </w:r>
      <w:r>
        <w:rPr>
          <w:rFonts w:cs="Arial"/>
          <w:sz w:val="20"/>
          <w:szCs w:val="20"/>
        </w:rPr>
        <w:t xml:space="preserve"> e</w:t>
      </w:r>
      <w:r w:rsidRPr="008374D3">
        <w:rPr>
          <w:rFonts w:cs="Arial"/>
          <w:sz w:val="20"/>
          <w:szCs w:val="20"/>
        </w:rPr>
        <w:t xml:space="preserve"> violência</w:t>
      </w:r>
      <w:r>
        <w:rPr>
          <w:rFonts w:cs="Arial"/>
          <w:sz w:val="20"/>
          <w:szCs w:val="20"/>
        </w:rPr>
        <w:t>.</w:t>
      </w:r>
    </w:p>
    <w:p w14:paraId="1AFE31D7" w14:textId="3E69BADD" w:rsidR="008374D3" w:rsidRDefault="008374D3" w:rsidP="008374D3">
      <w:pPr>
        <w:spacing w:after="0"/>
        <w:ind w:firstLine="709"/>
        <w:rPr>
          <w:rFonts w:cs="Arial"/>
          <w:sz w:val="20"/>
          <w:szCs w:val="20"/>
        </w:rPr>
      </w:pPr>
      <w:r w:rsidRPr="008374D3">
        <w:rPr>
          <w:rFonts w:cs="Arial"/>
          <w:sz w:val="20"/>
          <w:szCs w:val="20"/>
        </w:rPr>
        <w:t>Quando falamos sobre a vulnerabilidade em que os adolescentes estão sendo expostos é importante destacar um conjunto de fatores individuais e coletivo que levam esses jovens a ter uma dificuldade ao acesso de meios de prevenção e proteção, salienta-se que essas vulnerabilidades irão depender do contexto que esses adolescentes estão inseridos.</w:t>
      </w:r>
    </w:p>
    <w:p w14:paraId="68FBE23D" w14:textId="77777777" w:rsidR="008374D3" w:rsidRDefault="008374D3" w:rsidP="008374D3">
      <w:pPr>
        <w:spacing w:after="0"/>
        <w:ind w:firstLine="709"/>
        <w:rPr>
          <w:rFonts w:cs="Arial"/>
          <w:sz w:val="20"/>
          <w:szCs w:val="20"/>
        </w:rPr>
        <w:sectPr w:rsidR="008374D3" w:rsidSect="006527FC">
          <w:pgSz w:w="11906" w:h="16838"/>
          <w:pgMar w:top="1701" w:right="1134" w:bottom="1134" w:left="1701" w:header="709" w:footer="709" w:gutter="0"/>
          <w:pgNumType w:start="3"/>
          <w:cols w:num="2" w:space="708"/>
          <w:docGrid w:linePitch="360"/>
        </w:sectPr>
      </w:pPr>
    </w:p>
    <w:p w14:paraId="5BC2D1B3" w14:textId="11D9BB87" w:rsidR="008374D3" w:rsidRDefault="008374D3" w:rsidP="008374D3">
      <w:pPr>
        <w:spacing w:after="0"/>
        <w:ind w:firstLine="709"/>
        <w:rPr>
          <w:rFonts w:cs="Arial"/>
          <w:sz w:val="20"/>
          <w:szCs w:val="20"/>
        </w:rPr>
      </w:pPr>
      <w:r w:rsidRPr="008374D3">
        <w:rPr>
          <w:rFonts w:cs="Arial"/>
          <w:sz w:val="20"/>
          <w:szCs w:val="20"/>
        </w:rPr>
        <w:lastRenderedPageBreak/>
        <w:t>De acordo com Gomes</w:t>
      </w:r>
      <w:r w:rsidRPr="008374D3">
        <w:rPr>
          <w:rFonts w:cs="Arial"/>
          <w:sz w:val="20"/>
          <w:szCs w:val="20"/>
          <w:vertAlign w:val="superscript"/>
        </w:rPr>
        <w:t>17</w:t>
      </w:r>
      <w:r w:rsidRPr="008374D3">
        <w:rPr>
          <w:rFonts w:cs="Arial"/>
          <w:sz w:val="20"/>
          <w:szCs w:val="20"/>
        </w:rPr>
        <w:t>, conhecer valores e mudanças corporais, expressa que esses jovens podem se tornar menos vulneráveis e ter responsabilidades diante de suas atitudes. Esse período de comportamento depende do ambiente familiar e social que ele convive, pois, a sociedade e a mídia trazem informações inseguras que comumente contribuem e influenciam para iniciação precoce das atividades sexuais deixando os jovens inseguros em torno dessas informações.</w:t>
      </w:r>
    </w:p>
    <w:p w14:paraId="6F365393" w14:textId="1311370A" w:rsidR="008374D3" w:rsidRDefault="008374D3" w:rsidP="008374D3">
      <w:pPr>
        <w:spacing w:after="0"/>
        <w:ind w:firstLine="709"/>
        <w:rPr>
          <w:rFonts w:cs="Arial"/>
          <w:sz w:val="20"/>
          <w:szCs w:val="20"/>
        </w:rPr>
      </w:pPr>
      <w:r w:rsidRPr="008374D3">
        <w:rPr>
          <w:rFonts w:cs="Arial"/>
          <w:sz w:val="20"/>
          <w:szCs w:val="20"/>
        </w:rPr>
        <w:t>Brasil et al.</w:t>
      </w:r>
      <w:r w:rsidRPr="008374D3">
        <w:rPr>
          <w:rFonts w:cs="Arial"/>
          <w:sz w:val="20"/>
          <w:szCs w:val="20"/>
          <w:vertAlign w:val="superscript"/>
        </w:rPr>
        <w:t>10</w:t>
      </w:r>
      <w:r w:rsidRPr="008374D3">
        <w:rPr>
          <w:rFonts w:cs="Arial"/>
          <w:sz w:val="20"/>
          <w:szCs w:val="20"/>
        </w:rPr>
        <w:t>, demostra também que as incertezas e inseguranças influenciadas pela sociedade que está inserido e a mídia circulante incentiva o comportamento sexual de forma imatura fazendo com que estes adolescentes venham assumir essas atitudes precoce que acabam iniciando sem conhecimentos e informações adequadas levando os mesmos as vulnerabilidades existentes.</w:t>
      </w:r>
    </w:p>
    <w:p w14:paraId="28D54B1A" w14:textId="19AEE184" w:rsidR="008374D3" w:rsidRDefault="008374D3" w:rsidP="008374D3">
      <w:pPr>
        <w:spacing w:after="0"/>
        <w:ind w:firstLine="709"/>
        <w:rPr>
          <w:rFonts w:cs="Arial"/>
          <w:sz w:val="20"/>
          <w:szCs w:val="20"/>
        </w:rPr>
      </w:pPr>
      <w:r w:rsidRPr="008374D3">
        <w:rPr>
          <w:rFonts w:cs="Arial"/>
          <w:sz w:val="20"/>
          <w:szCs w:val="20"/>
        </w:rPr>
        <w:t>Nota-se, que a maioria dos comportamentos dos adolescentes estão entrelaçados na afirmação do corpo e na conquista do espaço do grupo que ele pertence na sociedade. Avaliam-se que estes adolescentes não possuem conhecimentos em educação sexual e consequentemente sem nenhuma preparação inicia sua vida sexual de forma desprotegida que comprometa sua saúde física e psicológica.</w:t>
      </w:r>
    </w:p>
    <w:p w14:paraId="48E4F00B" w14:textId="77777777" w:rsidR="008374D3" w:rsidRDefault="008374D3" w:rsidP="008374D3">
      <w:pPr>
        <w:spacing w:after="0"/>
        <w:rPr>
          <w:rFonts w:cs="Arial"/>
          <w:sz w:val="20"/>
          <w:szCs w:val="20"/>
        </w:rPr>
      </w:pPr>
    </w:p>
    <w:p w14:paraId="0FE5E332" w14:textId="77777777" w:rsidR="008374D3" w:rsidRDefault="008374D3" w:rsidP="008374D3">
      <w:pPr>
        <w:spacing w:after="0"/>
        <w:ind w:firstLine="709"/>
        <w:rPr>
          <w:rFonts w:cs="Arial"/>
          <w:sz w:val="20"/>
          <w:szCs w:val="20"/>
        </w:rPr>
      </w:pPr>
    </w:p>
    <w:p w14:paraId="4BB2A4C1" w14:textId="77777777" w:rsidR="0018171F" w:rsidRPr="006527FC" w:rsidRDefault="0018171F" w:rsidP="0018171F">
      <w:pPr>
        <w:spacing w:after="0"/>
        <w:rPr>
          <w:rFonts w:cs="Arial"/>
          <w:sz w:val="20"/>
          <w:szCs w:val="20"/>
        </w:rPr>
      </w:pPr>
    </w:p>
    <w:p w14:paraId="1D645189" w14:textId="77777777" w:rsidR="00F31D35" w:rsidRDefault="00F31D35" w:rsidP="006527FC">
      <w:pPr>
        <w:rPr>
          <w:rFonts w:cs="Arial"/>
          <w:b/>
          <w:sz w:val="20"/>
          <w:szCs w:val="20"/>
        </w:rPr>
      </w:pPr>
    </w:p>
    <w:p w14:paraId="307EC82B" w14:textId="77777777" w:rsidR="00556AC7" w:rsidRDefault="00556AC7" w:rsidP="006527FC">
      <w:pPr>
        <w:rPr>
          <w:rFonts w:cs="Arial"/>
          <w:b/>
          <w:sz w:val="20"/>
          <w:szCs w:val="20"/>
        </w:rPr>
      </w:pPr>
    </w:p>
    <w:p w14:paraId="309E8842" w14:textId="77777777" w:rsidR="00556AC7" w:rsidRDefault="00556AC7" w:rsidP="006527FC">
      <w:pPr>
        <w:rPr>
          <w:rFonts w:cs="Arial"/>
          <w:b/>
          <w:sz w:val="20"/>
          <w:szCs w:val="20"/>
        </w:rPr>
      </w:pPr>
    </w:p>
    <w:p w14:paraId="0251E99C" w14:textId="77777777" w:rsidR="00556AC7" w:rsidRDefault="00556AC7" w:rsidP="006527FC">
      <w:pPr>
        <w:rPr>
          <w:rFonts w:cs="Arial"/>
          <w:b/>
          <w:sz w:val="20"/>
          <w:szCs w:val="20"/>
        </w:rPr>
      </w:pPr>
    </w:p>
    <w:p w14:paraId="73A8E1EB" w14:textId="77777777" w:rsidR="00556AC7" w:rsidRDefault="00556AC7" w:rsidP="006527FC">
      <w:pPr>
        <w:rPr>
          <w:rFonts w:cs="Arial"/>
          <w:b/>
          <w:sz w:val="20"/>
          <w:szCs w:val="20"/>
        </w:rPr>
      </w:pPr>
    </w:p>
    <w:p w14:paraId="7D3F22E9" w14:textId="77777777" w:rsidR="00556AC7" w:rsidRDefault="00556AC7" w:rsidP="006527FC">
      <w:pPr>
        <w:rPr>
          <w:rFonts w:cs="Arial"/>
          <w:b/>
          <w:sz w:val="20"/>
          <w:szCs w:val="20"/>
        </w:rPr>
      </w:pPr>
    </w:p>
    <w:p w14:paraId="6653C94D" w14:textId="77777777" w:rsidR="00556AC7" w:rsidRDefault="00556AC7" w:rsidP="006527FC">
      <w:pPr>
        <w:rPr>
          <w:rFonts w:cs="Arial"/>
          <w:b/>
          <w:sz w:val="20"/>
          <w:szCs w:val="20"/>
        </w:rPr>
      </w:pPr>
    </w:p>
    <w:p w14:paraId="40938F6F" w14:textId="77777777" w:rsidR="00556AC7" w:rsidRDefault="00556AC7" w:rsidP="006527FC">
      <w:pPr>
        <w:rPr>
          <w:rFonts w:cs="Arial"/>
          <w:b/>
          <w:sz w:val="20"/>
          <w:szCs w:val="20"/>
        </w:rPr>
      </w:pPr>
    </w:p>
    <w:p w14:paraId="2C5A1C04" w14:textId="77777777" w:rsidR="00556AC7" w:rsidRDefault="00556AC7" w:rsidP="006527FC">
      <w:pPr>
        <w:rPr>
          <w:rFonts w:cs="Arial"/>
          <w:b/>
          <w:sz w:val="20"/>
          <w:szCs w:val="20"/>
        </w:rPr>
      </w:pPr>
    </w:p>
    <w:p w14:paraId="284876A6" w14:textId="77777777" w:rsidR="00556AC7" w:rsidRDefault="00556AC7" w:rsidP="006527FC">
      <w:pPr>
        <w:rPr>
          <w:rFonts w:cs="Arial"/>
          <w:b/>
          <w:sz w:val="20"/>
          <w:szCs w:val="20"/>
        </w:rPr>
      </w:pPr>
    </w:p>
    <w:p w14:paraId="387FF67B" w14:textId="77777777" w:rsidR="00556AC7" w:rsidRDefault="00556AC7" w:rsidP="006527FC">
      <w:pPr>
        <w:rPr>
          <w:rFonts w:cs="Arial"/>
          <w:b/>
          <w:sz w:val="20"/>
          <w:szCs w:val="20"/>
        </w:rPr>
      </w:pPr>
    </w:p>
    <w:p w14:paraId="4D5C310F" w14:textId="778F4802" w:rsidR="006527FC" w:rsidRPr="00832469" w:rsidRDefault="006527FC" w:rsidP="00BC57E7">
      <w:pPr>
        <w:spacing w:after="100" w:afterAutospacing="1"/>
        <w:rPr>
          <w:rFonts w:cs="Arial"/>
          <w:sz w:val="20"/>
          <w:szCs w:val="20"/>
        </w:rPr>
      </w:pPr>
    </w:p>
    <w:p w14:paraId="4ECA5AB4" w14:textId="44068D79" w:rsidR="00556AC7" w:rsidRPr="00832469" w:rsidRDefault="00556AC7" w:rsidP="00BC57E7">
      <w:pPr>
        <w:spacing w:after="100" w:afterAutospacing="1"/>
        <w:rPr>
          <w:rFonts w:cs="Arial"/>
          <w:sz w:val="20"/>
          <w:szCs w:val="20"/>
        </w:rPr>
      </w:pPr>
    </w:p>
    <w:p w14:paraId="4A6E2BE1" w14:textId="7F96372B" w:rsidR="00556AC7" w:rsidRPr="00832469" w:rsidRDefault="00556AC7" w:rsidP="00BC57E7">
      <w:pPr>
        <w:spacing w:after="100" w:afterAutospacing="1"/>
        <w:rPr>
          <w:rFonts w:cs="Arial"/>
          <w:sz w:val="20"/>
          <w:szCs w:val="20"/>
        </w:rPr>
      </w:pPr>
    </w:p>
    <w:p w14:paraId="71356BEA" w14:textId="2979E38D" w:rsidR="00556AC7" w:rsidRPr="00832469" w:rsidRDefault="00556AC7" w:rsidP="00BC57E7">
      <w:pPr>
        <w:spacing w:after="100" w:afterAutospacing="1"/>
        <w:rPr>
          <w:rFonts w:cs="Arial"/>
          <w:sz w:val="20"/>
          <w:szCs w:val="20"/>
        </w:rPr>
      </w:pPr>
    </w:p>
    <w:p w14:paraId="441B4F4C" w14:textId="66BDDD7D" w:rsidR="00556AC7" w:rsidRPr="00832469" w:rsidRDefault="00556AC7" w:rsidP="00BC57E7">
      <w:pPr>
        <w:spacing w:after="100" w:afterAutospacing="1"/>
        <w:rPr>
          <w:rFonts w:cs="Arial"/>
          <w:sz w:val="20"/>
          <w:szCs w:val="20"/>
        </w:rPr>
      </w:pPr>
    </w:p>
    <w:p w14:paraId="3777C4AB" w14:textId="77777777" w:rsidR="008374D3" w:rsidRDefault="008374D3" w:rsidP="00BC57E7">
      <w:pPr>
        <w:spacing w:after="100" w:afterAutospacing="1"/>
        <w:rPr>
          <w:rFonts w:cs="Arial"/>
          <w:sz w:val="20"/>
          <w:szCs w:val="20"/>
        </w:rPr>
        <w:sectPr w:rsidR="008374D3" w:rsidSect="008374D3">
          <w:type w:val="continuous"/>
          <w:pgSz w:w="11906" w:h="16838"/>
          <w:pgMar w:top="1701" w:right="1134" w:bottom="1134" w:left="1701" w:header="709" w:footer="709" w:gutter="0"/>
          <w:pgNumType w:start="3"/>
          <w:cols w:num="2" w:space="708"/>
          <w:docGrid w:linePitch="360"/>
        </w:sectPr>
      </w:pPr>
    </w:p>
    <w:p w14:paraId="74E43C71" w14:textId="77777777" w:rsidR="00556AC7" w:rsidRPr="008374D3" w:rsidRDefault="00556AC7" w:rsidP="00BC57E7">
      <w:pPr>
        <w:spacing w:after="100" w:afterAutospacing="1"/>
        <w:rPr>
          <w:rFonts w:cs="Arial"/>
          <w:sz w:val="20"/>
          <w:szCs w:val="20"/>
        </w:rPr>
        <w:sectPr w:rsidR="00556AC7" w:rsidRPr="008374D3" w:rsidSect="008374D3">
          <w:type w:val="continuous"/>
          <w:pgSz w:w="11906" w:h="16838"/>
          <w:pgMar w:top="1701" w:right="1134" w:bottom="1134" w:left="1701" w:header="709" w:footer="709" w:gutter="0"/>
          <w:pgNumType w:start="3"/>
          <w:cols w:num="2" w:space="708"/>
          <w:docGrid w:linePitch="360"/>
        </w:sectPr>
      </w:pPr>
    </w:p>
    <w:p w14:paraId="5E0CB660" w14:textId="57CF9668" w:rsidR="008374D3" w:rsidRDefault="008374D3" w:rsidP="00556AC7">
      <w:pPr>
        <w:spacing w:after="0"/>
        <w:rPr>
          <w:sz w:val="20"/>
          <w:szCs w:val="20"/>
        </w:rPr>
      </w:pPr>
      <w:r w:rsidRPr="008374D3">
        <w:rPr>
          <w:sz w:val="20"/>
          <w:szCs w:val="20"/>
        </w:rPr>
        <w:t>A EDUCAÇÃO SEXUAL NO AMBITO ESCOLAR</w:t>
      </w:r>
    </w:p>
    <w:p w14:paraId="51CA0599" w14:textId="4E45950C" w:rsidR="008374D3" w:rsidRDefault="008374D3" w:rsidP="00556AC7">
      <w:pPr>
        <w:spacing w:after="0"/>
        <w:rPr>
          <w:sz w:val="20"/>
          <w:szCs w:val="20"/>
        </w:rPr>
      </w:pPr>
    </w:p>
    <w:p w14:paraId="5E73DEB9" w14:textId="1E345898" w:rsidR="008374D3" w:rsidRPr="008374D3" w:rsidRDefault="008374D3" w:rsidP="00556AC7">
      <w:pPr>
        <w:spacing w:after="0"/>
        <w:rPr>
          <w:sz w:val="20"/>
          <w:szCs w:val="20"/>
        </w:rPr>
      </w:pPr>
      <w:r>
        <w:rPr>
          <w:sz w:val="20"/>
          <w:szCs w:val="20"/>
        </w:rPr>
        <w:tab/>
      </w:r>
    </w:p>
    <w:p w14:paraId="0530DA6E" w14:textId="77777777" w:rsidR="008374D3" w:rsidRDefault="008374D3" w:rsidP="00556AC7">
      <w:pPr>
        <w:spacing w:after="0"/>
        <w:rPr>
          <w:b/>
          <w:bCs/>
          <w:sz w:val="23"/>
          <w:szCs w:val="23"/>
        </w:rPr>
      </w:pPr>
    </w:p>
    <w:p w14:paraId="13A89B3E" w14:textId="77777777" w:rsidR="008374D3" w:rsidRDefault="008374D3" w:rsidP="00556AC7">
      <w:pPr>
        <w:spacing w:after="0"/>
        <w:rPr>
          <w:b/>
          <w:bCs/>
          <w:sz w:val="23"/>
          <w:szCs w:val="23"/>
        </w:rPr>
      </w:pPr>
    </w:p>
    <w:p w14:paraId="45C53CB4" w14:textId="77777777" w:rsidR="008374D3" w:rsidRDefault="008374D3" w:rsidP="00556AC7">
      <w:pPr>
        <w:spacing w:after="0"/>
        <w:rPr>
          <w:b/>
          <w:bCs/>
          <w:sz w:val="23"/>
          <w:szCs w:val="23"/>
        </w:rPr>
      </w:pPr>
    </w:p>
    <w:p w14:paraId="0D409281" w14:textId="77777777" w:rsidR="008374D3" w:rsidRDefault="008374D3" w:rsidP="00556AC7">
      <w:pPr>
        <w:spacing w:after="0"/>
        <w:rPr>
          <w:b/>
          <w:bCs/>
          <w:sz w:val="23"/>
          <w:szCs w:val="23"/>
        </w:rPr>
      </w:pPr>
    </w:p>
    <w:p w14:paraId="36CB77E7" w14:textId="77777777" w:rsidR="008374D3" w:rsidRDefault="008374D3" w:rsidP="00556AC7">
      <w:pPr>
        <w:spacing w:after="0"/>
        <w:rPr>
          <w:b/>
          <w:bCs/>
          <w:sz w:val="23"/>
          <w:szCs w:val="23"/>
        </w:rPr>
      </w:pPr>
    </w:p>
    <w:p w14:paraId="6265CD78" w14:textId="77777777" w:rsidR="008374D3" w:rsidRDefault="008374D3" w:rsidP="00556AC7">
      <w:pPr>
        <w:spacing w:after="0"/>
        <w:rPr>
          <w:b/>
          <w:bCs/>
          <w:sz w:val="23"/>
          <w:szCs w:val="23"/>
        </w:rPr>
        <w:sectPr w:rsidR="008374D3" w:rsidSect="008374D3">
          <w:type w:val="continuous"/>
          <w:pgSz w:w="11906" w:h="16838"/>
          <w:pgMar w:top="1701" w:right="1134" w:bottom="1134" w:left="1701" w:header="709" w:footer="709" w:gutter="0"/>
          <w:pgNumType w:start="3"/>
          <w:cols w:num="2" w:space="708"/>
          <w:docGrid w:linePitch="360"/>
        </w:sectPr>
      </w:pPr>
    </w:p>
    <w:p w14:paraId="098E7D92" w14:textId="08C0AAD1" w:rsidR="008374D3" w:rsidRDefault="008374D3" w:rsidP="00556AC7">
      <w:pPr>
        <w:spacing w:after="0"/>
        <w:rPr>
          <w:b/>
          <w:bCs/>
          <w:sz w:val="23"/>
          <w:szCs w:val="23"/>
        </w:rPr>
      </w:pPr>
    </w:p>
    <w:p w14:paraId="7C57D510" w14:textId="77777777" w:rsidR="008374D3" w:rsidRDefault="008374D3" w:rsidP="00556AC7">
      <w:pPr>
        <w:spacing w:after="0"/>
        <w:rPr>
          <w:b/>
          <w:bCs/>
          <w:sz w:val="23"/>
          <w:szCs w:val="23"/>
        </w:rPr>
        <w:sectPr w:rsidR="008374D3" w:rsidSect="008374D3">
          <w:type w:val="continuous"/>
          <w:pgSz w:w="11906" w:h="16838"/>
          <w:pgMar w:top="1701" w:right="1134" w:bottom="1134" w:left="1701" w:header="709" w:footer="709" w:gutter="0"/>
          <w:pgNumType w:start="3"/>
          <w:cols w:num="2" w:space="708"/>
          <w:docGrid w:linePitch="360"/>
        </w:sectPr>
      </w:pPr>
    </w:p>
    <w:p w14:paraId="0CC37A4C" w14:textId="6CCCB7D9" w:rsidR="008374D3" w:rsidRDefault="008374D3" w:rsidP="00556AC7">
      <w:pPr>
        <w:spacing w:after="0"/>
        <w:rPr>
          <w:b/>
          <w:bCs/>
          <w:sz w:val="23"/>
          <w:szCs w:val="23"/>
        </w:rPr>
      </w:pPr>
    </w:p>
    <w:p w14:paraId="04B5F7F2" w14:textId="53F5B8FC" w:rsidR="008374D3" w:rsidRDefault="008374D3" w:rsidP="00556AC7">
      <w:pPr>
        <w:spacing w:after="0"/>
        <w:rPr>
          <w:b/>
          <w:bCs/>
          <w:sz w:val="23"/>
          <w:szCs w:val="23"/>
        </w:rPr>
      </w:pPr>
    </w:p>
    <w:p w14:paraId="14C66C9F" w14:textId="1B41D7C5" w:rsidR="008374D3" w:rsidRDefault="008374D3" w:rsidP="00556AC7">
      <w:pPr>
        <w:spacing w:after="0"/>
        <w:rPr>
          <w:b/>
          <w:bCs/>
          <w:sz w:val="23"/>
          <w:szCs w:val="23"/>
        </w:rPr>
      </w:pPr>
    </w:p>
    <w:p w14:paraId="47FF6966" w14:textId="2C7B36D0" w:rsidR="008374D3" w:rsidRDefault="008374D3" w:rsidP="00556AC7">
      <w:pPr>
        <w:spacing w:after="0"/>
        <w:rPr>
          <w:b/>
          <w:bCs/>
          <w:sz w:val="23"/>
          <w:szCs w:val="23"/>
        </w:rPr>
      </w:pPr>
    </w:p>
    <w:p w14:paraId="0DF28B5A" w14:textId="2CD8C19B" w:rsidR="008374D3" w:rsidRDefault="008374D3" w:rsidP="00556AC7">
      <w:pPr>
        <w:spacing w:after="0"/>
        <w:rPr>
          <w:b/>
          <w:bCs/>
          <w:sz w:val="23"/>
          <w:szCs w:val="23"/>
        </w:rPr>
      </w:pPr>
    </w:p>
    <w:p w14:paraId="12881CD8" w14:textId="0AC75387" w:rsidR="008374D3" w:rsidRDefault="008374D3" w:rsidP="00556AC7">
      <w:pPr>
        <w:spacing w:after="0"/>
        <w:rPr>
          <w:b/>
          <w:bCs/>
          <w:sz w:val="23"/>
          <w:szCs w:val="23"/>
        </w:rPr>
      </w:pPr>
    </w:p>
    <w:p w14:paraId="1BDC1958" w14:textId="65C4FA64" w:rsidR="008374D3" w:rsidRDefault="008374D3" w:rsidP="00556AC7">
      <w:pPr>
        <w:spacing w:after="0"/>
        <w:rPr>
          <w:b/>
          <w:bCs/>
          <w:sz w:val="23"/>
          <w:szCs w:val="23"/>
        </w:rPr>
      </w:pPr>
    </w:p>
    <w:p w14:paraId="50C6BBB9" w14:textId="77777777" w:rsidR="008374D3" w:rsidRDefault="008374D3" w:rsidP="00556AC7">
      <w:pPr>
        <w:spacing w:after="0"/>
        <w:rPr>
          <w:b/>
          <w:bCs/>
          <w:sz w:val="23"/>
          <w:szCs w:val="23"/>
        </w:rPr>
      </w:pPr>
    </w:p>
    <w:p w14:paraId="60BEFA12" w14:textId="77777777" w:rsidR="008374D3" w:rsidRDefault="008374D3" w:rsidP="00556AC7">
      <w:pPr>
        <w:spacing w:after="0"/>
        <w:rPr>
          <w:b/>
          <w:bCs/>
          <w:sz w:val="23"/>
          <w:szCs w:val="23"/>
        </w:rPr>
      </w:pPr>
    </w:p>
    <w:p w14:paraId="3B88C454" w14:textId="77777777" w:rsidR="008374D3" w:rsidRDefault="008374D3" w:rsidP="00556AC7">
      <w:pPr>
        <w:spacing w:after="0"/>
        <w:rPr>
          <w:b/>
          <w:bCs/>
          <w:sz w:val="23"/>
          <w:szCs w:val="23"/>
        </w:rPr>
      </w:pPr>
    </w:p>
    <w:p w14:paraId="2E7B184F" w14:textId="77777777" w:rsidR="008374D3" w:rsidRDefault="008374D3" w:rsidP="00556AC7">
      <w:pPr>
        <w:spacing w:after="0"/>
        <w:rPr>
          <w:b/>
          <w:bCs/>
          <w:sz w:val="23"/>
          <w:szCs w:val="23"/>
        </w:rPr>
      </w:pPr>
    </w:p>
    <w:p w14:paraId="60D45321" w14:textId="77777777" w:rsidR="008374D3" w:rsidRDefault="008374D3" w:rsidP="00556AC7">
      <w:pPr>
        <w:spacing w:after="0"/>
        <w:rPr>
          <w:b/>
          <w:bCs/>
          <w:sz w:val="23"/>
          <w:szCs w:val="23"/>
        </w:rPr>
      </w:pPr>
    </w:p>
    <w:p w14:paraId="499C225E" w14:textId="77777777" w:rsidR="008374D3" w:rsidRDefault="008374D3" w:rsidP="00556AC7">
      <w:pPr>
        <w:spacing w:after="0"/>
        <w:rPr>
          <w:b/>
          <w:bCs/>
          <w:sz w:val="23"/>
          <w:szCs w:val="23"/>
        </w:rPr>
      </w:pPr>
    </w:p>
    <w:p w14:paraId="645C871A" w14:textId="77777777" w:rsidR="008374D3" w:rsidRDefault="008374D3" w:rsidP="00556AC7">
      <w:pPr>
        <w:spacing w:after="0"/>
        <w:rPr>
          <w:b/>
          <w:bCs/>
          <w:sz w:val="23"/>
          <w:szCs w:val="23"/>
        </w:rPr>
      </w:pPr>
    </w:p>
    <w:p w14:paraId="46980D7D" w14:textId="77777777" w:rsidR="008374D3" w:rsidRDefault="008374D3" w:rsidP="00556AC7">
      <w:pPr>
        <w:spacing w:after="0"/>
        <w:rPr>
          <w:b/>
          <w:bCs/>
          <w:sz w:val="23"/>
          <w:szCs w:val="23"/>
        </w:rPr>
      </w:pPr>
    </w:p>
    <w:p w14:paraId="0510BCCD" w14:textId="77777777" w:rsidR="008374D3" w:rsidRDefault="008374D3" w:rsidP="00556AC7">
      <w:pPr>
        <w:spacing w:after="0"/>
        <w:rPr>
          <w:b/>
          <w:bCs/>
          <w:sz w:val="23"/>
          <w:szCs w:val="23"/>
        </w:rPr>
      </w:pPr>
    </w:p>
    <w:p w14:paraId="03A66404" w14:textId="77777777" w:rsidR="008374D3" w:rsidRDefault="008374D3" w:rsidP="00556AC7">
      <w:pPr>
        <w:spacing w:after="0"/>
        <w:rPr>
          <w:b/>
          <w:bCs/>
          <w:sz w:val="23"/>
          <w:szCs w:val="23"/>
        </w:rPr>
      </w:pPr>
    </w:p>
    <w:p w14:paraId="38D9E6BD" w14:textId="77777777" w:rsidR="008374D3" w:rsidRDefault="008374D3" w:rsidP="00556AC7">
      <w:pPr>
        <w:spacing w:after="0"/>
        <w:rPr>
          <w:b/>
          <w:bCs/>
          <w:sz w:val="23"/>
          <w:szCs w:val="23"/>
        </w:rPr>
      </w:pPr>
    </w:p>
    <w:p w14:paraId="30559F9F" w14:textId="77777777" w:rsidR="008374D3" w:rsidRDefault="008374D3" w:rsidP="00556AC7">
      <w:pPr>
        <w:spacing w:after="0"/>
        <w:rPr>
          <w:b/>
          <w:bCs/>
          <w:sz w:val="23"/>
          <w:szCs w:val="23"/>
        </w:rPr>
      </w:pPr>
    </w:p>
    <w:p w14:paraId="34AD4B03" w14:textId="77777777" w:rsidR="008374D3" w:rsidRDefault="008374D3" w:rsidP="00556AC7">
      <w:pPr>
        <w:spacing w:after="0"/>
        <w:rPr>
          <w:b/>
          <w:bCs/>
          <w:sz w:val="23"/>
          <w:szCs w:val="23"/>
        </w:rPr>
      </w:pPr>
    </w:p>
    <w:p w14:paraId="2AC46F3D" w14:textId="77777777" w:rsidR="008374D3" w:rsidRDefault="008374D3" w:rsidP="00556AC7">
      <w:pPr>
        <w:spacing w:after="0"/>
        <w:rPr>
          <w:b/>
          <w:bCs/>
          <w:sz w:val="23"/>
          <w:szCs w:val="23"/>
        </w:rPr>
      </w:pPr>
    </w:p>
    <w:p w14:paraId="1BCD79A6" w14:textId="7688619D" w:rsidR="008374D3" w:rsidRDefault="008374D3" w:rsidP="00556AC7">
      <w:pPr>
        <w:spacing w:after="0"/>
        <w:rPr>
          <w:b/>
          <w:bCs/>
          <w:sz w:val="23"/>
          <w:szCs w:val="23"/>
        </w:rPr>
      </w:pPr>
    </w:p>
    <w:p w14:paraId="6915A8E3" w14:textId="7EFCF92F" w:rsidR="008374D3" w:rsidRDefault="008374D3" w:rsidP="00556AC7">
      <w:pPr>
        <w:spacing w:after="0"/>
        <w:rPr>
          <w:b/>
          <w:bCs/>
          <w:sz w:val="23"/>
          <w:szCs w:val="23"/>
        </w:rPr>
      </w:pPr>
    </w:p>
    <w:p w14:paraId="49F06F6B" w14:textId="77777777" w:rsidR="008374D3" w:rsidRDefault="008374D3" w:rsidP="00556AC7">
      <w:pPr>
        <w:spacing w:after="0"/>
        <w:rPr>
          <w:b/>
          <w:bCs/>
          <w:sz w:val="23"/>
          <w:szCs w:val="23"/>
        </w:rPr>
      </w:pPr>
    </w:p>
    <w:p w14:paraId="5923F423" w14:textId="77777777" w:rsidR="008374D3" w:rsidRDefault="008374D3" w:rsidP="00556AC7">
      <w:pPr>
        <w:spacing w:after="0"/>
        <w:rPr>
          <w:b/>
          <w:bCs/>
          <w:sz w:val="23"/>
          <w:szCs w:val="23"/>
        </w:rPr>
      </w:pPr>
    </w:p>
    <w:p w14:paraId="38AFBA6A" w14:textId="77777777" w:rsidR="008374D3" w:rsidRDefault="008374D3" w:rsidP="00556AC7">
      <w:pPr>
        <w:spacing w:after="0"/>
        <w:rPr>
          <w:b/>
          <w:bCs/>
          <w:sz w:val="23"/>
          <w:szCs w:val="23"/>
        </w:rPr>
        <w:sectPr w:rsidR="008374D3" w:rsidSect="008374D3">
          <w:type w:val="continuous"/>
          <w:pgSz w:w="11906" w:h="16838"/>
          <w:pgMar w:top="1701" w:right="1134" w:bottom="1134" w:left="1701" w:header="709" w:footer="709" w:gutter="0"/>
          <w:pgNumType w:start="3"/>
          <w:cols w:num="2" w:space="708"/>
          <w:docGrid w:linePitch="360"/>
        </w:sectPr>
      </w:pPr>
    </w:p>
    <w:p w14:paraId="38C9AB87" w14:textId="77777777" w:rsidR="008374D3" w:rsidRDefault="008374D3" w:rsidP="00556AC7">
      <w:pPr>
        <w:spacing w:after="0"/>
        <w:rPr>
          <w:b/>
          <w:bCs/>
          <w:sz w:val="23"/>
          <w:szCs w:val="23"/>
        </w:rPr>
      </w:pPr>
    </w:p>
    <w:p w14:paraId="6C9C03F6" w14:textId="77777777" w:rsidR="008374D3" w:rsidRDefault="008374D3" w:rsidP="00556AC7">
      <w:pPr>
        <w:spacing w:after="0"/>
        <w:rPr>
          <w:b/>
          <w:bCs/>
          <w:sz w:val="23"/>
          <w:szCs w:val="23"/>
        </w:rPr>
      </w:pPr>
    </w:p>
    <w:p w14:paraId="1472DA69" w14:textId="77777777" w:rsidR="008374D3" w:rsidRDefault="008374D3" w:rsidP="00556AC7">
      <w:pPr>
        <w:spacing w:after="0"/>
        <w:rPr>
          <w:b/>
          <w:bCs/>
          <w:sz w:val="23"/>
          <w:szCs w:val="23"/>
        </w:rPr>
      </w:pPr>
    </w:p>
    <w:p w14:paraId="2D17B6AB" w14:textId="77777777" w:rsidR="008374D3" w:rsidRDefault="008374D3" w:rsidP="00556AC7">
      <w:pPr>
        <w:spacing w:after="0"/>
        <w:rPr>
          <w:b/>
          <w:bCs/>
          <w:sz w:val="23"/>
          <w:szCs w:val="23"/>
        </w:rPr>
      </w:pPr>
    </w:p>
    <w:p w14:paraId="5C971E28" w14:textId="77777777" w:rsidR="008374D3" w:rsidRDefault="008374D3" w:rsidP="00556AC7">
      <w:pPr>
        <w:spacing w:after="0"/>
        <w:rPr>
          <w:b/>
          <w:bCs/>
          <w:sz w:val="23"/>
          <w:szCs w:val="23"/>
        </w:rPr>
      </w:pPr>
    </w:p>
    <w:p w14:paraId="646B38B1" w14:textId="77777777" w:rsidR="008374D3" w:rsidRDefault="008374D3" w:rsidP="00556AC7">
      <w:pPr>
        <w:spacing w:after="0"/>
        <w:rPr>
          <w:b/>
          <w:bCs/>
          <w:sz w:val="23"/>
          <w:szCs w:val="23"/>
        </w:rPr>
      </w:pPr>
    </w:p>
    <w:p w14:paraId="1B65F4E3" w14:textId="77777777" w:rsidR="008374D3" w:rsidRDefault="008374D3" w:rsidP="00556AC7">
      <w:pPr>
        <w:spacing w:after="0"/>
        <w:rPr>
          <w:b/>
          <w:bCs/>
          <w:sz w:val="23"/>
          <w:szCs w:val="23"/>
        </w:rPr>
      </w:pPr>
    </w:p>
    <w:p w14:paraId="4169A85C" w14:textId="77777777" w:rsidR="008374D3" w:rsidRDefault="008374D3" w:rsidP="00556AC7">
      <w:pPr>
        <w:spacing w:after="0"/>
        <w:rPr>
          <w:b/>
          <w:bCs/>
          <w:sz w:val="23"/>
          <w:szCs w:val="23"/>
        </w:rPr>
      </w:pPr>
    </w:p>
    <w:p w14:paraId="1AF7A1E1" w14:textId="77777777" w:rsidR="008374D3" w:rsidRDefault="008374D3" w:rsidP="00556AC7">
      <w:pPr>
        <w:spacing w:after="0"/>
        <w:rPr>
          <w:b/>
          <w:bCs/>
          <w:sz w:val="23"/>
          <w:szCs w:val="23"/>
        </w:rPr>
      </w:pPr>
    </w:p>
    <w:p w14:paraId="1C1500CF" w14:textId="77777777" w:rsidR="008374D3" w:rsidRDefault="008374D3" w:rsidP="00556AC7">
      <w:pPr>
        <w:spacing w:after="0"/>
        <w:rPr>
          <w:b/>
          <w:bCs/>
          <w:sz w:val="23"/>
          <w:szCs w:val="23"/>
        </w:rPr>
        <w:sectPr w:rsidR="008374D3" w:rsidSect="008374D3">
          <w:type w:val="continuous"/>
          <w:pgSz w:w="11906" w:h="16838"/>
          <w:pgMar w:top="1701" w:right="1134" w:bottom="1134" w:left="1701" w:header="709" w:footer="709" w:gutter="0"/>
          <w:pgNumType w:start="3"/>
          <w:cols w:num="2" w:space="708"/>
          <w:docGrid w:linePitch="360"/>
        </w:sectPr>
      </w:pPr>
    </w:p>
    <w:p w14:paraId="72EFC13F" w14:textId="5095C0DF" w:rsidR="00556AC7" w:rsidRDefault="00556AC7" w:rsidP="00556AC7">
      <w:pPr>
        <w:spacing w:after="0"/>
        <w:rPr>
          <w:rFonts w:cs="Arial"/>
          <w:sz w:val="20"/>
          <w:szCs w:val="20"/>
        </w:rPr>
      </w:pPr>
      <w:r>
        <w:rPr>
          <w:b/>
          <w:bCs/>
          <w:sz w:val="23"/>
          <w:szCs w:val="23"/>
        </w:rPr>
        <w:lastRenderedPageBreak/>
        <w:t xml:space="preserve">Figura 1: </w:t>
      </w:r>
      <w:r>
        <w:rPr>
          <w:sz w:val="23"/>
          <w:szCs w:val="23"/>
        </w:rPr>
        <w:t>Fluxograma de seleção dos artigos para Revisão Bibliográfica, mediante o modelo de Cochrane Collaboration</w:t>
      </w:r>
    </w:p>
    <w:p w14:paraId="42935E1D" w14:textId="4A6A8577" w:rsidR="00556AC7" w:rsidRDefault="00556AC7" w:rsidP="00BC57E7">
      <w:pPr>
        <w:spacing w:after="100" w:afterAutospacing="1"/>
        <w:rPr>
          <w:rFonts w:cs="Arial"/>
          <w:sz w:val="20"/>
          <w:szCs w:val="20"/>
        </w:rPr>
      </w:pPr>
      <w:r>
        <w:rPr>
          <w:rFonts w:cs="Arial"/>
          <w:noProof/>
          <w:sz w:val="20"/>
          <w:szCs w:val="20"/>
        </w:rPr>
        <w:drawing>
          <wp:anchor distT="0" distB="0" distL="114300" distR="114300" simplePos="0" relativeHeight="251659263" behindDoc="0" locked="0" layoutInCell="1" allowOverlap="1" wp14:anchorId="32269D2A" wp14:editId="30387AAA">
            <wp:simplePos x="0" y="0"/>
            <wp:positionH relativeFrom="column">
              <wp:posOffset>1057551</wp:posOffset>
            </wp:positionH>
            <wp:positionV relativeFrom="paragraph">
              <wp:posOffset>102995</wp:posOffset>
            </wp:positionV>
            <wp:extent cx="3196425" cy="3403976"/>
            <wp:effectExtent l="0" t="0" r="4445" b="0"/>
            <wp:wrapSquare wrapText="bothSides"/>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3196425" cy="3403976"/>
                    </a:xfrm>
                    <a:prstGeom prst="rect">
                      <a:avLst/>
                    </a:prstGeom>
                  </pic:spPr>
                </pic:pic>
              </a:graphicData>
            </a:graphic>
            <wp14:sizeRelH relativeFrom="page">
              <wp14:pctWidth>0</wp14:pctWidth>
            </wp14:sizeRelH>
            <wp14:sizeRelV relativeFrom="page">
              <wp14:pctHeight>0</wp14:pctHeight>
            </wp14:sizeRelV>
          </wp:anchor>
        </w:drawing>
      </w:r>
    </w:p>
    <w:p w14:paraId="738EF2A8" w14:textId="4DFFFB5C" w:rsidR="00832469" w:rsidRPr="00832469" w:rsidRDefault="00832469" w:rsidP="00832469">
      <w:pPr>
        <w:rPr>
          <w:rFonts w:cs="Arial"/>
          <w:sz w:val="20"/>
          <w:szCs w:val="20"/>
        </w:rPr>
      </w:pPr>
    </w:p>
    <w:p w14:paraId="705ADAA6" w14:textId="68831786" w:rsidR="00832469" w:rsidRPr="00832469" w:rsidRDefault="00832469" w:rsidP="00832469">
      <w:pPr>
        <w:rPr>
          <w:rFonts w:cs="Arial"/>
          <w:sz w:val="20"/>
          <w:szCs w:val="20"/>
        </w:rPr>
      </w:pPr>
    </w:p>
    <w:p w14:paraId="082A6E63" w14:textId="5ED9855C" w:rsidR="00832469" w:rsidRPr="00832469" w:rsidRDefault="00832469" w:rsidP="00832469">
      <w:pPr>
        <w:rPr>
          <w:rFonts w:cs="Arial"/>
          <w:sz w:val="20"/>
          <w:szCs w:val="20"/>
        </w:rPr>
      </w:pPr>
    </w:p>
    <w:p w14:paraId="59DDF981" w14:textId="33B9B6F6" w:rsidR="00832469" w:rsidRPr="00832469" w:rsidRDefault="00832469" w:rsidP="00832469">
      <w:pPr>
        <w:rPr>
          <w:rFonts w:cs="Arial"/>
          <w:sz w:val="20"/>
          <w:szCs w:val="20"/>
        </w:rPr>
      </w:pPr>
    </w:p>
    <w:p w14:paraId="76ACC0D3" w14:textId="5C6E471A" w:rsidR="00832469" w:rsidRPr="00832469" w:rsidRDefault="00832469" w:rsidP="00832469">
      <w:pPr>
        <w:rPr>
          <w:rFonts w:cs="Arial"/>
          <w:sz w:val="20"/>
          <w:szCs w:val="20"/>
        </w:rPr>
      </w:pPr>
    </w:p>
    <w:p w14:paraId="0DAA9261" w14:textId="63BE5639" w:rsidR="00832469" w:rsidRPr="00832469" w:rsidRDefault="00832469" w:rsidP="00832469">
      <w:pPr>
        <w:rPr>
          <w:rFonts w:cs="Arial"/>
          <w:sz w:val="20"/>
          <w:szCs w:val="20"/>
        </w:rPr>
      </w:pPr>
    </w:p>
    <w:p w14:paraId="17FEB162" w14:textId="20E7CCED" w:rsidR="00832469" w:rsidRPr="00832469" w:rsidRDefault="00832469" w:rsidP="00832469">
      <w:pPr>
        <w:rPr>
          <w:rFonts w:cs="Arial"/>
          <w:sz w:val="20"/>
          <w:szCs w:val="20"/>
        </w:rPr>
      </w:pPr>
    </w:p>
    <w:p w14:paraId="77AD6F25" w14:textId="538DD07B" w:rsidR="00832469" w:rsidRPr="00832469" w:rsidRDefault="00832469" w:rsidP="00832469">
      <w:pPr>
        <w:rPr>
          <w:rFonts w:cs="Arial"/>
          <w:sz w:val="20"/>
          <w:szCs w:val="20"/>
        </w:rPr>
      </w:pPr>
    </w:p>
    <w:p w14:paraId="0283EA36" w14:textId="19BCBFD5" w:rsidR="00832469" w:rsidRPr="00832469" w:rsidRDefault="00832469" w:rsidP="00832469">
      <w:pPr>
        <w:rPr>
          <w:rFonts w:cs="Arial"/>
          <w:sz w:val="20"/>
          <w:szCs w:val="20"/>
        </w:rPr>
      </w:pPr>
    </w:p>
    <w:p w14:paraId="79181A48" w14:textId="2CB52D13" w:rsidR="00832469" w:rsidRPr="00832469" w:rsidRDefault="00832469" w:rsidP="00832469">
      <w:pPr>
        <w:rPr>
          <w:rFonts w:cs="Arial"/>
          <w:sz w:val="20"/>
          <w:szCs w:val="20"/>
        </w:rPr>
      </w:pPr>
    </w:p>
    <w:p w14:paraId="3D8F018D" w14:textId="323B5B49" w:rsidR="00832469" w:rsidRPr="00832469" w:rsidRDefault="00832469" w:rsidP="00832469">
      <w:pPr>
        <w:rPr>
          <w:rFonts w:cs="Arial"/>
          <w:sz w:val="20"/>
          <w:szCs w:val="20"/>
        </w:rPr>
      </w:pPr>
    </w:p>
    <w:p w14:paraId="2A29C9ED" w14:textId="20344ABD" w:rsidR="00832469" w:rsidRPr="00832469" w:rsidRDefault="00832469" w:rsidP="00832469">
      <w:pPr>
        <w:rPr>
          <w:rFonts w:cs="Arial"/>
          <w:sz w:val="20"/>
          <w:szCs w:val="20"/>
        </w:rPr>
      </w:pPr>
    </w:p>
    <w:p w14:paraId="1123ECA3" w14:textId="2A39D0A1" w:rsidR="00832469" w:rsidRPr="00832469" w:rsidRDefault="00832469" w:rsidP="00832469">
      <w:pPr>
        <w:rPr>
          <w:rFonts w:cs="Arial"/>
          <w:sz w:val="20"/>
          <w:szCs w:val="20"/>
        </w:rPr>
      </w:pPr>
    </w:p>
    <w:p w14:paraId="070578CC" w14:textId="77F7E872" w:rsidR="00832469" w:rsidRDefault="00832469" w:rsidP="00832469">
      <w:pPr>
        <w:rPr>
          <w:rFonts w:cs="Arial"/>
          <w:sz w:val="20"/>
          <w:szCs w:val="20"/>
        </w:rPr>
      </w:pPr>
    </w:p>
    <w:p w14:paraId="7C9D6269" w14:textId="3CD53FDE" w:rsidR="00832469" w:rsidRDefault="00832469" w:rsidP="00832469">
      <w:pPr>
        <w:rPr>
          <w:rFonts w:cs="Arial"/>
          <w:sz w:val="20"/>
          <w:szCs w:val="20"/>
        </w:rPr>
      </w:pPr>
    </w:p>
    <w:p w14:paraId="5C000CE0" w14:textId="08FAD66E" w:rsidR="00832469" w:rsidRDefault="00832469" w:rsidP="00832469">
      <w:pPr>
        <w:rPr>
          <w:rFonts w:cs="Arial"/>
          <w:sz w:val="20"/>
          <w:szCs w:val="20"/>
        </w:rPr>
      </w:pPr>
    </w:p>
    <w:p w14:paraId="1A00E067" w14:textId="64B722C8" w:rsidR="00832469" w:rsidRDefault="00832469" w:rsidP="00832469">
      <w:pPr>
        <w:rPr>
          <w:rFonts w:cs="Arial"/>
          <w:sz w:val="20"/>
          <w:szCs w:val="20"/>
        </w:rPr>
      </w:pPr>
      <w:r w:rsidRPr="00832469">
        <w:rPr>
          <w:rFonts w:cs="Arial"/>
          <w:sz w:val="20"/>
          <w:szCs w:val="20"/>
        </w:rPr>
        <w:t xml:space="preserve">Quadro </w:t>
      </w:r>
      <w:r>
        <w:rPr>
          <w:rFonts w:cs="Arial"/>
          <w:sz w:val="20"/>
          <w:szCs w:val="20"/>
        </w:rPr>
        <w:t xml:space="preserve">1 </w:t>
      </w:r>
      <w:r w:rsidRPr="00832469">
        <w:rPr>
          <w:rFonts w:cs="Arial"/>
          <w:sz w:val="20"/>
          <w:szCs w:val="20"/>
        </w:rPr>
        <w:t>– Caracterização dos artigos incluídos na revisão.</w:t>
      </w:r>
    </w:p>
    <w:p w14:paraId="08CFA590" w14:textId="77777777" w:rsidR="008374D3" w:rsidRDefault="008374D3" w:rsidP="00832469">
      <w:pPr>
        <w:rPr>
          <w:rFonts w:cs="Arial"/>
          <w:sz w:val="20"/>
          <w:szCs w:val="20"/>
        </w:rPr>
      </w:pPr>
    </w:p>
    <w:tbl>
      <w:tblPr>
        <w:tblStyle w:val="Tabelacomgrade"/>
        <w:tblW w:w="0" w:type="auto"/>
        <w:tblLook w:val="04A0" w:firstRow="1" w:lastRow="0" w:firstColumn="1" w:lastColumn="0" w:noHBand="0" w:noVBand="1"/>
      </w:tblPr>
      <w:tblGrid>
        <w:gridCol w:w="1589"/>
        <w:gridCol w:w="2265"/>
        <w:gridCol w:w="2265"/>
        <w:gridCol w:w="2719"/>
      </w:tblGrid>
      <w:tr w:rsidR="00832469" w14:paraId="0D352A7C" w14:textId="77777777" w:rsidTr="008374D3">
        <w:tc>
          <w:tcPr>
            <w:tcW w:w="1589" w:type="dxa"/>
          </w:tcPr>
          <w:p w14:paraId="081CF882" w14:textId="7829601D" w:rsidR="00832469" w:rsidRDefault="00832469" w:rsidP="00832469">
            <w:pPr>
              <w:rPr>
                <w:rFonts w:cs="Arial"/>
                <w:sz w:val="20"/>
                <w:szCs w:val="20"/>
              </w:rPr>
            </w:pPr>
            <w:r>
              <w:rPr>
                <w:rFonts w:cs="Arial"/>
                <w:sz w:val="20"/>
                <w:szCs w:val="20"/>
              </w:rPr>
              <w:t>Autor/Ano</w:t>
            </w:r>
          </w:p>
        </w:tc>
        <w:tc>
          <w:tcPr>
            <w:tcW w:w="2265" w:type="dxa"/>
          </w:tcPr>
          <w:p w14:paraId="5A7645BA" w14:textId="33D0EBC1" w:rsidR="00832469" w:rsidRDefault="00832469" w:rsidP="00832469">
            <w:pPr>
              <w:rPr>
                <w:rFonts w:cs="Arial"/>
                <w:sz w:val="20"/>
                <w:szCs w:val="20"/>
              </w:rPr>
            </w:pPr>
            <w:r>
              <w:rPr>
                <w:rFonts w:cs="Arial"/>
                <w:sz w:val="20"/>
                <w:szCs w:val="20"/>
              </w:rPr>
              <w:t>Objetivo</w:t>
            </w:r>
          </w:p>
        </w:tc>
        <w:tc>
          <w:tcPr>
            <w:tcW w:w="2265" w:type="dxa"/>
          </w:tcPr>
          <w:p w14:paraId="065DDABF" w14:textId="4B21BBF3" w:rsidR="00832469" w:rsidRDefault="00832469" w:rsidP="00832469">
            <w:pPr>
              <w:rPr>
                <w:rFonts w:cs="Arial"/>
                <w:sz w:val="20"/>
                <w:szCs w:val="20"/>
              </w:rPr>
            </w:pPr>
            <w:r>
              <w:rPr>
                <w:rFonts w:cs="Arial"/>
                <w:sz w:val="20"/>
                <w:szCs w:val="20"/>
              </w:rPr>
              <w:t>Metodologia</w:t>
            </w:r>
          </w:p>
        </w:tc>
        <w:tc>
          <w:tcPr>
            <w:tcW w:w="2266" w:type="dxa"/>
          </w:tcPr>
          <w:p w14:paraId="599D939F" w14:textId="3A5CA24F" w:rsidR="00832469" w:rsidRDefault="00832469" w:rsidP="00832469">
            <w:pPr>
              <w:rPr>
                <w:rFonts w:cs="Arial"/>
                <w:sz w:val="20"/>
                <w:szCs w:val="20"/>
              </w:rPr>
            </w:pPr>
            <w:r>
              <w:rPr>
                <w:rFonts w:cs="Arial"/>
                <w:sz w:val="20"/>
                <w:szCs w:val="20"/>
              </w:rPr>
              <w:t>Conclusão</w:t>
            </w:r>
          </w:p>
        </w:tc>
      </w:tr>
      <w:tr w:rsidR="00832469" w14:paraId="41F17041" w14:textId="77777777" w:rsidTr="008374D3">
        <w:tc>
          <w:tcPr>
            <w:tcW w:w="1589" w:type="dxa"/>
          </w:tcPr>
          <w:p w14:paraId="4BAB83DB" w14:textId="151ABDBA" w:rsidR="00832469" w:rsidRDefault="00832469" w:rsidP="00832469">
            <w:pPr>
              <w:pStyle w:val="Default"/>
              <w:jc w:val="both"/>
              <w:rPr>
                <w:sz w:val="20"/>
                <w:szCs w:val="20"/>
              </w:rPr>
            </w:pPr>
            <w:r>
              <w:rPr>
                <w:sz w:val="20"/>
                <w:szCs w:val="20"/>
              </w:rPr>
              <w:t>F</w:t>
            </w:r>
            <w:r>
              <w:rPr>
                <w:sz w:val="20"/>
                <w:szCs w:val="20"/>
              </w:rPr>
              <w:t>erreira</w:t>
            </w:r>
            <w:r>
              <w:rPr>
                <w:sz w:val="20"/>
                <w:szCs w:val="20"/>
              </w:rPr>
              <w:t xml:space="preserve"> </w:t>
            </w:r>
            <w:r>
              <w:rPr>
                <w:i/>
                <w:iCs/>
                <w:sz w:val="20"/>
                <w:szCs w:val="20"/>
              </w:rPr>
              <w:t>et al</w:t>
            </w:r>
            <w:r>
              <w:rPr>
                <w:sz w:val="20"/>
                <w:szCs w:val="20"/>
              </w:rPr>
              <w:t>.</w:t>
            </w:r>
            <w:r w:rsidR="008374D3" w:rsidRPr="008374D3">
              <w:rPr>
                <w:sz w:val="20"/>
                <w:szCs w:val="20"/>
                <w:vertAlign w:val="superscript"/>
              </w:rPr>
              <w:t>9</w:t>
            </w:r>
          </w:p>
        </w:tc>
        <w:tc>
          <w:tcPr>
            <w:tcW w:w="2265" w:type="dxa"/>
          </w:tcPr>
          <w:p w14:paraId="0DEE33DD" w14:textId="3522580A" w:rsidR="00832469" w:rsidRDefault="008374D3" w:rsidP="008374D3">
            <w:pPr>
              <w:pStyle w:val="Default"/>
              <w:jc w:val="both"/>
              <w:rPr>
                <w:sz w:val="20"/>
                <w:szCs w:val="20"/>
              </w:rPr>
            </w:pPr>
            <w:r>
              <w:rPr>
                <w:sz w:val="20"/>
                <w:szCs w:val="20"/>
              </w:rPr>
              <w:t xml:space="preserve">Discutir a percepção de adolescentes acerca da sexualidade no espaço escolar. </w:t>
            </w:r>
          </w:p>
        </w:tc>
        <w:tc>
          <w:tcPr>
            <w:tcW w:w="2265" w:type="dxa"/>
          </w:tcPr>
          <w:p w14:paraId="06486DD2" w14:textId="665A60CC" w:rsidR="00832469" w:rsidRDefault="008374D3" w:rsidP="008374D3">
            <w:pPr>
              <w:pStyle w:val="Default"/>
              <w:jc w:val="both"/>
              <w:rPr>
                <w:sz w:val="20"/>
                <w:szCs w:val="20"/>
              </w:rPr>
            </w:pPr>
            <w:r>
              <w:rPr>
                <w:sz w:val="20"/>
                <w:szCs w:val="20"/>
              </w:rPr>
              <w:t xml:space="preserve">Estudo descritivo e exploratório, de natureza qualitativa. </w:t>
            </w:r>
          </w:p>
        </w:tc>
        <w:tc>
          <w:tcPr>
            <w:tcW w:w="2266" w:type="dxa"/>
          </w:tcPr>
          <w:p w14:paraId="23A9BE2C" w14:textId="7A6CCEC2" w:rsidR="00832469" w:rsidRDefault="008374D3" w:rsidP="008374D3">
            <w:pPr>
              <w:pStyle w:val="Default"/>
              <w:jc w:val="both"/>
              <w:rPr>
                <w:sz w:val="20"/>
                <w:szCs w:val="20"/>
              </w:rPr>
            </w:pPr>
            <w:r>
              <w:rPr>
                <w:sz w:val="20"/>
                <w:szCs w:val="20"/>
              </w:rPr>
              <w:t xml:space="preserve">Torna-se relevante a aproximação entre profissionais da educação e saúde para reverem as práticas pedagógicas ofertadas aos estudantes. </w:t>
            </w:r>
          </w:p>
        </w:tc>
      </w:tr>
      <w:tr w:rsidR="00832469" w14:paraId="31F871CC" w14:textId="77777777" w:rsidTr="008374D3">
        <w:tc>
          <w:tcPr>
            <w:tcW w:w="1589" w:type="dxa"/>
          </w:tcPr>
          <w:p w14:paraId="666C5862" w14:textId="07B98917" w:rsidR="00832469" w:rsidRDefault="008374D3" w:rsidP="008374D3">
            <w:pPr>
              <w:pStyle w:val="Default"/>
              <w:jc w:val="both"/>
              <w:rPr>
                <w:sz w:val="20"/>
                <w:szCs w:val="20"/>
              </w:rPr>
            </w:pPr>
            <w:r>
              <w:rPr>
                <w:sz w:val="20"/>
                <w:szCs w:val="20"/>
              </w:rPr>
              <w:t>B</w:t>
            </w:r>
            <w:r>
              <w:rPr>
                <w:sz w:val="20"/>
                <w:szCs w:val="20"/>
              </w:rPr>
              <w:t>rasil</w:t>
            </w:r>
            <w:r>
              <w:rPr>
                <w:sz w:val="20"/>
                <w:szCs w:val="20"/>
              </w:rPr>
              <w:t xml:space="preserve"> </w:t>
            </w:r>
            <w:r>
              <w:rPr>
                <w:i/>
                <w:iCs/>
                <w:sz w:val="20"/>
                <w:szCs w:val="20"/>
              </w:rPr>
              <w:t>et al</w:t>
            </w:r>
            <w:r>
              <w:rPr>
                <w:sz w:val="20"/>
                <w:szCs w:val="20"/>
              </w:rPr>
              <w:t>.</w:t>
            </w:r>
            <w:r w:rsidRPr="008374D3">
              <w:rPr>
                <w:sz w:val="20"/>
                <w:szCs w:val="20"/>
                <w:vertAlign w:val="superscript"/>
              </w:rPr>
              <w:t>10</w:t>
            </w:r>
          </w:p>
        </w:tc>
        <w:tc>
          <w:tcPr>
            <w:tcW w:w="2265" w:type="dxa"/>
          </w:tcPr>
          <w:p w14:paraId="6587A195" w14:textId="26DC0F03" w:rsidR="00832469" w:rsidRDefault="008374D3" w:rsidP="00832469">
            <w:pPr>
              <w:rPr>
                <w:rFonts w:cs="Arial"/>
                <w:sz w:val="20"/>
                <w:szCs w:val="20"/>
              </w:rPr>
            </w:pPr>
            <w:r>
              <w:rPr>
                <w:rFonts w:cs="Arial"/>
                <w:sz w:val="20"/>
                <w:szCs w:val="20"/>
              </w:rPr>
              <w:t>Avaliar o nível de conhecimento de escolares sobre infecções sexualmente transmissíveis e métodos contraceptivos.</w:t>
            </w:r>
          </w:p>
        </w:tc>
        <w:tc>
          <w:tcPr>
            <w:tcW w:w="2265" w:type="dxa"/>
          </w:tcPr>
          <w:p w14:paraId="1F4EC63F" w14:textId="77777777" w:rsidR="00832469" w:rsidRDefault="00832469" w:rsidP="00832469">
            <w:pPr>
              <w:rPr>
                <w:rFonts w:cs="Arial"/>
                <w:sz w:val="20"/>
                <w:szCs w:val="20"/>
              </w:rPr>
            </w:pPr>
          </w:p>
        </w:tc>
        <w:tc>
          <w:tcPr>
            <w:tcW w:w="2266" w:type="dxa"/>
          </w:tcPr>
          <w:p w14:paraId="2C180EB1" w14:textId="77777777" w:rsidR="00832469" w:rsidRDefault="00832469" w:rsidP="00832469">
            <w:pPr>
              <w:rPr>
                <w:rFonts w:cs="Arial"/>
                <w:sz w:val="20"/>
                <w:szCs w:val="20"/>
              </w:rPr>
            </w:pPr>
          </w:p>
        </w:tc>
      </w:tr>
      <w:tr w:rsidR="00832469" w14:paraId="20709BC3" w14:textId="77777777" w:rsidTr="008374D3">
        <w:tc>
          <w:tcPr>
            <w:tcW w:w="1589" w:type="dxa"/>
          </w:tcPr>
          <w:p w14:paraId="23325C41" w14:textId="382BE7B5" w:rsidR="00832469" w:rsidRDefault="008374D3" w:rsidP="008374D3">
            <w:pPr>
              <w:pStyle w:val="Default"/>
              <w:jc w:val="both"/>
              <w:rPr>
                <w:sz w:val="20"/>
                <w:szCs w:val="20"/>
              </w:rPr>
            </w:pPr>
            <w:r>
              <w:rPr>
                <w:sz w:val="20"/>
                <w:szCs w:val="20"/>
              </w:rPr>
              <w:t>S</w:t>
            </w:r>
            <w:r>
              <w:rPr>
                <w:sz w:val="20"/>
                <w:szCs w:val="20"/>
              </w:rPr>
              <w:t>coralick</w:t>
            </w:r>
            <w:r w:rsidRPr="008374D3">
              <w:rPr>
                <w:sz w:val="20"/>
                <w:szCs w:val="20"/>
                <w:vertAlign w:val="superscript"/>
              </w:rPr>
              <w:t>11</w:t>
            </w:r>
          </w:p>
        </w:tc>
        <w:tc>
          <w:tcPr>
            <w:tcW w:w="2265" w:type="dxa"/>
          </w:tcPr>
          <w:p w14:paraId="5E09E57B" w14:textId="77777777" w:rsidR="00832469" w:rsidRDefault="00832469" w:rsidP="00832469">
            <w:pPr>
              <w:rPr>
                <w:rFonts w:cs="Arial"/>
                <w:sz w:val="20"/>
                <w:szCs w:val="20"/>
              </w:rPr>
            </w:pPr>
          </w:p>
        </w:tc>
        <w:tc>
          <w:tcPr>
            <w:tcW w:w="2265" w:type="dxa"/>
          </w:tcPr>
          <w:p w14:paraId="3CB57E8B" w14:textId="77777777" w:rsidR="00832469" w:rsidRDefault="00832469" w:rsidP="00832469">
            <w:pPr>
              <w:rPr>
                <w:rFonts w:cs="Arial"/>
                <w:sz w:val="20"/>
                <w:szCs w:val="20"/>
              </w:rPr>
            </w:pPr>
          </w:p>
        </w:tc>
        <w:tc>
          <w:tcPr>
            <w:tcW w:w="2266" w:type="dxa"/>
          </w:tcPr>
          <w:p w14:paraId="19C472B0" w14:textId="77777777" w:rsidR="00832469" w:rsidRDefault="00832469" w:rsidP="00832469">
            <w:pPr>
              <w:rPr>
                <w:rFonts w:cs="Arial"/>
                <w:sz w:val="20"/>
                <w:szCs w:val="20"/>
              </w:rPr>
            </w:pPr>
          </w:p>
        </w:tc>
      </w:tr>
      <w:tr w:rsidR="00832469" w14:paraId="3370A11E" w14:textId="77777777" w:rsidTr="008374D3">
        <w:tc>
          <w:tcPr>
            <w:tcW w:w="1589" w:type="dxa"/>
          </w:tcPr>
          <w:p w14:paraId="1B1448CE" w14:textId="59D87729" w:rsidR="00832469" w:rsidRDefault="008374D3" w:rsidP="008374D3">
            <w:pPr>
              <w:pStyle w:val="Default"/>
              <w:jc w:val="both"/>
              <w:rPr>
                <w:sz w:val="20"/>
                <w:szCs w:val="20"/>
              </w:rPr>
            </w:pPr>
            <w:r>
              <w:rPr>
                <w:sz w:val="20"/>
                <w:szCs w:val="20"/>
              </w:rPr>
              <w:t>A</w:t>
            </w:r>
            <w:r>
              <w:rPr>
                <w:sz w:val="20"/>
                <w:szCs w:val="20"/>
              </w:rPr>
              <w:t>lmeida</w:t>
            </w:r>
            <w:r>
              <w:rPr>
                <w:sz w:val="20"/>
                <w:szCs w:val="20"/>
              </w:rPr>
              <w:t xml:space="preserve"> </w:t>
            </w:r>
            <w:r>
              <w:rPr>
                <w:i/>
                <w:iCs/>
                <w:sz w:val="20"/>
                <w:szCs w:val="20"/>
              </w:rPr>
              <w:t>et al</w:t>
            </w:r>
            <w:r>
              <w:rPr>
                <w:sz w:val="20"/>
                <w:szCs w:val="20"/>
              </w:rPr>
              <w:t>.</w:t>
            </w:r>
            <w:r w:rsidRPr="008374D3">
              <w:rPr>
                <w:sz w:val="20"/>
                <w:szCs w:val="20"/>
                <w:vertAlign w:val="superscript"/>
              </w:rPr>
              <w:t>12</w:t>
            </w:r>
          </w:p>
        </w:tc>
        <w:tc>
          <w:tcPr>
            <w:tcW w:w="2265" w:type="dxa"/>
          </w:tcPr>
          <w:p w14:paraId="7439CCD1" w14:textId="77777777" w:rsidR="00832469" w:rsidRDefault="00832469" w:rsidP="00832469">
            <w:pPr>
              <w:rPr>
                <w:rFonts w:cs="Arial"/>
                <w:sz w:val="20"/>
                <w:szCs w:val="20"/>
              </w:rPr>
            </w:pPr>
          </w:p>
        </w:tc>
        <w:tc>
          <w:tcPr>
            <w:tcW w:w="2265" w:type="dxa"/>
          </w:tcPr>
          <w:p w14:paraId="687360CA" w14:textId="77777777" w:rsidR="00832469" w:rsidRDefault="00832469" w:rsidP="00832469">
            <w:pPr>
              <w:rPr>
                <w:rFonts w:cs="Arial"/>
                <w:sz w:val="20"/>
                <w:szCs w:val="20"/>
              </w:rPr>
            </w:pPr>
          </w:p>
        </w:tc>
        <w:tc>
          <w:tcPr>
            <w:tcW w:w="2266" w:type="dxa"/>
          </w:tcPr>
          <w:p w14:paraId="2D5510C2" w14:textId="77777777" w:rsidR="00832469" w:rsidRDefault="00832469" w:rsidP="00832469">
            <w:pPr>
              <w:rPr>
                <w:rFonts w:cs="Arial"/>
                <w:sz w:val="20"/>
                <w:szCs w:val="20"/>
              </w:rPr>
            </w:pPr>
          </w:p>
        </w:tc>
      </w:tr>
      <w:tr w:rsidR="00832469" w14:paraId="31856141" w14:textId="77777777" w:rsidTr="008374D3">
        <w:tc>
          <w:tcPr>
            <w:tcW w:w="1589" w:type="dxa"/>
          </w:tcPr>
          <w:p w14:paraId="02E1D00C" w14:textId="6E20B958" w:rsidR="00832469" w:rsidRDefault="008374D3" w:rsidP="008374D3">
            <w:pPr>
              <w:pStyle w:val="Default"/>
              <w:jc w:val="both"/>
              <w:rPr>
                <w:sz w:val="20"/>
                <w:szCs w:val="20"/>
              </w:rPr>
            </w:pPr>
            <w:r>
              <w:rPr>
                <w:sz w:val="20"/>
                <w:szCs w:val="20"/>
              </w:rPr>
              <w:t>B</w:t>
            </w:r>
            <w:r>
              <w:rPr>
                <w:sz w:val="20"/>
                <w:szCs w:val="20"/>
              </w:rPr>
              <w:t>ringel</w:t>
            </w:r>
            <w:r>
              <w:rPr>
                <w:sz w:val="20"/>
                <w:szCs w:val="20"/>
              </w:rPr>
              <w:t xml:space="preserve"> </w:t>
            </w:r>
            <w:r>
              <w:rPr>
                <w:i/>
                <w:iCs/>
                <w:sz w:val="20"/>
                <w:szCs w:val="20"/>
              </w:rPr>
              <w:t>et al</w:t>
            </w:r>
            <w:r>
              <w:rPr>
                <w:sz w:val="20"/>
                <w:szCs w:val="20"/>
              </w:rPr>
              <w:t>.</w:t>
            </w:r>
            <w:r w:rsidRPr="008374D3">
              <w:rPr>
                <w:sz w:val="20"/>
                <w:szCs w:val="20"/>
                <w:vertAlign w:val="superscript"/>
              </w:rPr>
              <w:t>13</w:t>
            </w:r>
          </w:p>
        </w:tc>
        <w:tc>
          <w:tcPr>
            <w:tcW w:w="2265" w:type="dxa"/>
          </w:tcPr>
          <w:p w14:paraId="2BF70F2A" w14:textId="77777777" w:rsidR="00832469" w:rsidRDefault="00832469" w:rsidP="00832469">
            <w:pPr>
              <w:rPr>
                <w:rFonts w:cs="Arial"/>
                <w:sz w:val="20"/>
                <w:szCs w:val="20"/>
              </w:rPr>
            </w:pPr>
          </w:p>
        </w:tc>
        <w:tc>
          <w:tcPr>
            <w:tcW w:w="2265" w:type="dxa"/>
          </w:tcPr>
          <w:p w14:paraId="400D7795" w14:textId="77777777" w:rsidR="00832469" w:rsidRDefault="00832469" w:rsidP="00832469">
            <w:pPr>
              <w:rPr>
                <w:rFonts w:cs="Arial"/>
                <w:sz w:val="20"/>
                <w:szCs w:val="20"/>
              </w:rPr>
            </w:pPr>
          </w:p>
        </w:tc>
        <w:tc>
          <w:tcPr>
            <w:tcW w:w="2266" w:type="dxa"/>
          </w:tcPr>
          <w:p w14:paraId="5FB157E2" w14:textId="77777777" w:rsidR="00832469" w:rsidRDefault="00832469" w:rsidP="00832469">
            <w:pPr>
              <w:rPr>
                <w:rFonts w:cs="Arial"/>
                <w:sz w:val="20"/>
                <w:szCs w:val="20"/>
              </w:rPr>
            </w:pPr>
          </w:p>
        </w:tc>
      </w:tr>
      <w:tr w:rsidR="00832469" w14:paraId="33CCBC41" w14:textId="77777777" w:rsidTr="008374D3">
        <w:tc>
          <w:tcPr>
            <w:tcW w:w="1589" w:type="dxa"/>
          </w:tcPr>
          <w:p w14:paraId="64F0C085" w14:textId="6A58CB57" w:rsidR="00832469" w:rsidRDefault="008374D3" w:rsidP="008374D3">
            <w:pPr>
              <w:pStyle w:val="Default"/>
              <w:jc w:val="both"/>
              <w:rPr>
                <w:sz w:val="20"/>
                <w:szCs w:val="20"/>
              </w:rPr>
            </w:pPr>
            <w:r>
              <w:rPr>
                <w:sz w:val="20"/>
                <w:szCs w:val="20"/>
              </w:rPr>
              <w:t>A</w:t>
            </w:r>
            <w:r>
              <w:rPr>
                <w:sz w:val="20"/>
                <w:szCs w:val="20"/>
              </w:rPr>
              <w:t>lves</w:t>
            </w:r>
            <w:r w:rsidRPr="008374D3">
              <w:rPr>
                <w:sz w:val="20"/>
                <w:szCs w:val="20"/>
                <w:vertAlign w:val="superscript"/>
              </w:rPr>
              <w:t>14</w:t>
            </w:r>
          </w:p>
        </w:tc>
        <w:tc>
          <w:tcPr>
            <w:tcW w:w="2265" w:type="dxa"/>
          </w:tcPr>
          <w:p w14:paraId="03169A38" w14:textId="77777777" w:rsidR="00832469" w:rsidRDefault="00832469" w:rsidP="00832469">
            <w:pPr>
              <w:rPr>
                <w:rFonts w:cs="Arial"/>
                <w:sz w:val="20"/>
                <w:szCs w:val="20"/>
              </w:rPr>
            </w:pPr>
          </w:p>
        </w:tc>
        <w:tc>
          <w:tcPr>
            <w:tcW w:w="2265" w:type="dxa"/>
          </w:tcPr>
          <w:p w14:paraId="1526F90A" w14:textId="77777777" w:rsidR="00832469" w:rsidRDefault="00832469" w:rsidP="00832469">
            <w:pPr>
              <w:rPr>
                <w:rFonts w:cs="Arial"/>
                <w:sz w:val="20"/>
                <w:szCs w:val="20"/>
              </w:rPr>
            </w:pPr>
          </w:p>
        </w:tc>
        <w:tc>
          <w:tcPr>
            <w:tcW w:w="2266" w:type="dxa"/>
          </w:tcPr>
          <w:p w14:paraId="132CABEF" w14:textId="77777777" w:rsidR="00832469" w:rsidRDefault="00832469" w:rsidP="00832469">
            <w:pPr>
              <w:rPr>
                <w:rFonts w:cs="Arial"/>
                <w:sz w:val="20"/>
                <w:szCs w:val="20"/>
              </w:rPr>
            </w:pPr>
          </w:p>
        </w:tc>
      </w:tr>
      <w:tr w:rsidR="00832469" w14:paraId="5216B722" w14:textId="77777777" w:rsidTr="008374D3">
        <w:tc>
          <w:tcPr>
            <w:tcW w:w="1589" w:type="dxa"/>
          </w:tcPr>
          <w:p w14:paraId="505EC794" w14:textId="488A7F81" w:rsidR="00832469" w:rsidRDefault="008374D3" w:rsidP="008374D3">
            <w:pPr>
              <w:pStyle w:val="Default"/>
              <w:jc w:val="both"/>
              <w:rPr>
                <w:sz w:val="20"/>
                <w:szCs w:val="20"/>
              </w:rPr>
            </w:pPr>
            <w:r>
              <w:rPr>
                <w:sz w:val="20"/>
                <w:szCs w:val="20"/>
              </w:rPr>
              <w:t>N</w:t>
            </w:r>
            <w:r>
              <w:rPr>
                <w:sz w:val="20"/>
                <w:szCs w:val="20"/>
              </w:rPr>
              <w:t>othaft</w:t>
            </w:r>
            <w:r>
              <w:rPr>
                <w:sz w:val="20"/>
                <w:szCs w:val="20"/>
              </w:rPr>
              <w:t xml:space="preserve"> </w:t>
            </w:r>
            <w:r>
              <w:rPr>
                <w:i/>
                <w:iCs/>
                <w:sz w:val="20"/>
                <w:szCs w:val="20"/>
              </w:rPr>
              <w:t>et al</w:t>
            </w:r>
            <w:r>
              <w:rPr>
                <w:sz w:val="20"/>
                <w:szCs w:val="20"/>
              </w:rPr>
              <w:t>.</w:t>
            </w:r>
            <w:r w:rsidRPr="008374D3">
              <w:rPr>
                <w:sz w:val="20"/>
                <w:szCs w:val="20"/>
                <w:vertAlign w:val="superscript"/>
              </w:rPr>
              <w:t>14</w:t>
            </w:r>
          </w:p>
        </w:tc>
        <w:tc>
          <w:tcPr>
            <w:tcW w:w="2265" w:type="dxa"/>
          </w:tcPr>
          <w:p w14:paraId="5F1B5AEC" w14:textId="4AE5C338" w:rsidR="00832469" w:rsidRDefault="00C51C36" w:rsidP="00C51C36">
            <w:pPr>
              <w:pStyle w:val="Default"/>
              <w:jc w:val="both"/>
              <w:rPr>
                <w:sz w:val="20"/>
                <w:szCs w:val="20"/>
              </w:rPr>
            </w:pPr>
            <w:r>
              <w:rPr>
                <w:sz w:val="20"/>
                <w:szCs w:val="20"/>
              </w:rPr>
              <w:t xml:space="preserve">Conhecer a concepção destes sobre adolescência e sexualidade e evidenciar estratégicas utilizadas quando discutem o tema sexualidade. </w:t>
            </w:r>
          </w:p>
        </w:tc>
        <w:tc>
          <w:tcPr>
            <w:tcW w:w="2265" w:type="dxa"/>
          </w:tcPr>
          <w:p w14:paraId="73476FD0" w14:textId="77777777" w:rsidR="00C51C36" w:rsidRDefault="00C51C36" w:rsidP="00C51C36">
            <w:pPr>
              <w:pStyle w:val="Default"/>
              <w:jc w:val="both"/>
              <w:rPr>
                <w:sz w:val="20"/>
                <w:szCs w:val="20"/>
              </w:rPr>
            </w:pPr>
            <w:r>
              <w:rPr>
                <w:sz w:val="20"/>
                <w:szCs w:val="20"/>
              </w:rPr>
              <w:t xml:space="preserve">Pesquisa qualitativa. </w:t>
            </w:r>
          </w:p>
          <w:p w14:paraId="377BE7A0" w14:textId="77777777" w:rsidR="00832469" w:rsidRDefault="00832469" w:rsidP="00832469">
            <w:pPr>
              <w:rPr>
                <w:rFonts w:cs="Arial"/>
                <w:sz w:val="20"/>
                <w:szCs w:val="20"/>
              </w:rPr>
            </w:pPr>
          </w:p>
        </w:tc>
        <w:tc>
          <w:tcPr>
            <w:tcW w:w="2266" w:type="dxa"/>
          </w:tcPr>
          <w:p w14:paraId="2FACB843" w14:textId="77777777" w:rsidR="00C51C36" w:rsidRDefault="00C51C36" w:rsidP="00C51C36">
            <w:pPr>
              <w:pStyle w:val="Default"/>
              <w:jc w:val="both"/>
              <w:rPr>
                <w:sz w:val="20"/>
                <w:szCs w:val="20"/>
              </w:rPr>
            </w:pPr>
            <w:r>
              <w:rPr>
                <w:sz w:val="20"/>
                <w:szCs w:val="20"/>
              </w:rPr>
              <w:t>A_ _d_i_s_c_u_s_s_ão_ _d_a_ _s_e_x_u_a_l_i_d_a_d_e_ _n_a_ _a_d_o_l_e_s_c_ên_c_i_a_ _n_o_ _âm_b_i_t_o_ _</w:t>
            </w:r>
          </w:p>
          <w:p w14:paraId="2771C170" w14:textId="77777777" w:rsidR="00832469" w:rsidRDefault="00832469" w:rsidP="00832469">
            <w:pPr>
              <w:rPr>
                <w:rFonts w:cs="Arial"/>
                <w:sz w:val="20"/>
                <w:szCs w:val="20"/>
              </w:rPr>
            </w:pPr>
          </w:p>
        </w:tc>
      </w:tr>
      <w:tr w:rsidR="00832469" w14:paraId="5917238A" w14:textId="77777777" w:rsidTr="008374D3">
        <w:tc>
          <w:tcPr>
            <w:tcW w:w="1589" w:type="dxa"/>
          </w:tcPr>
          <w:p w14:paraId="4C7C7E33" w14:textId="36CDD523" w:rsidR="00832469" w:rsidRDefault="008374D3" w:rsidP="008374D3">
            <w:pPr>
              <w:pStyle w:val="Default"/>
              <w:jc w:val="both"/>
              <w:rPr>
                <w:sz w:val="20"/>
                <w:szCs w:val="20"/>
              </w:rPr>
            </w:pPr>
            <w:r>
              <w:rPr>
                <w:sz w:val="20"/>
                <w:szCs w:val="20"/>
              </w:rPr>
              <w:t>V</w:t>
            </w:r>
            <w:r>
              <w:rPr>
                <w:sz w:val="20"/>
                <w:szCs w:val="20"/>
              </w:rPr>
              <w:t>alli, Cogo</w:t>
            </w:r>
            <w:r w:rsidRPr="008374D3">
              <w:rPr>
                <w:sz w:val="20"/>
                <w:szCs w:val="20"/>
                <w:vertAlign w:val="superscript"/>
              </w:rPr>
              <w:t>15</w:t>
            </w:r>
          </w:p>
        </w:tc>
        <w:tc>
          <w:tcPr>
            <w:tcW w:w="2265" w:type="dxa"/>
          </w:tcPr>
          <w:p w14:paraId="5F02451D" w14:textId="3522604A" w:rsidR="00832469" w:rsidRDefault="00C51C36" w:rsidP="00C51C36">
            <w:pPr>
              <w:pStyle w:val="Default"/>
              <w:jc w:val="both"/>
              <w:rPr>
                <w:sz w:val="20"/>
                <w:szCs w:val="20"/>
              </w:rPr>
            </w:pPr>
            <w:r>
              <w:rPr>
                <w:sz w:val="20"/>
                <w:szCs w:val="20"/>
              </w:rPr>
              <w:t xml:space="preserve">Analisar a estrutura e utilização do blog </w:t>
            </w:r>
            <w:r>
              <w:rPr>
                <w:sz w:val="20"/>
                <w:szCs w:val="20"/>
              </w:rPr>
              <w:lastRenderedPageBreak/>
              <w:t xml:space="preserve">escolar por adolescente, ao abordarem a temática da sexualidade. </w:t>
            </w:r>
          </w:p>
        </w:tc>
        <w:tc>
          <w:tcPr>
            <w:tcW w:w="2265" w:type="dxa"/>
          </w:tcPr>
          <w:p w14:paraId="75225A86" w14:textId="5501E98B" w:rsidR="00832469" w:rsidRDefault="00C51C36" w:rsidP="00C51C36">
            <w:pPr>
              <w:pStyle w:val="Default"/>
              <w:jc w:val="both"/>
              <w:rPr>
                <w:sz w:val="20"/>
                <w:szCs w:val="20"/>
              </w:rPr>
            </w:pPr>
            <w:r>
              <w:rPr>
                <w:sz w:val="20"/>
                <w:szCs w:val="20"/>
              </w:rPr>
              <w:lastRenderedPageBreak/>
              <w:t xml:space="preserve">Trata-se de pesquisa quantitativa </w:t>
            </w:r>
            <w:r>
              <w:rPr>
                <w:sz w:val="20"/>
                <w:szCs w:val="20"/>
              </w:rPr>
              <w:lastRenderedPageBreak/>
              <w:t xml:space="preserve">exploratória documental. </w:t>
            </w:r>
          </w:p>
        </w:tc>
        <w:tc>
          <w:tcPr>
            <w:tcW w:w="2266" w:type="dxa"/>
          </w:tcPr>
          <w:p w14:paraId="33CFF37B" w14:textId="77777777" w:rsidR="00C51C36" w:rsidRPr="00C51C36" w:rsidRDefault="00C51C36" w:rsidP="00C51C36">
            <w:pPr>
              <w:pStyle w:val="Default"/>
              <w:jc w:val="both"/>
              <w:rPr>
                <w:sz w:val="20"/>
                <w:szCs w:val="20"/>
              </w:rPr>
            </w:pPr>
            <w:r w:rsidRPr="00C51C36">
              <w:rPr>
                <w:sz w:val="20"/>
                <w:szCs w:val="20"/>
              </w:rPr>
              <w:lastRenderedPageBreak/>
              <w:t xml:space="preserve">Sinaliza a importância de haver a participação de </w:t>
            </w:r>
            <w:r w:rsidRPr="00C51C36">
              <w:rPr>
                <w:sz w:val="20"/>
                <w:szCs w:val="20"/>
              </w:rPr>
              <w:lastRenderedPageBreak/>
              <w:t xml:space="preserve">profissionais da área da saúde em ações de educação em saúde junto com escola. </w:t>
            </w:r>
          </w:p>
          <w:p w14:paraId="41F7C396" w14:textId="6AF9BE5F" w:rsidR="00832469" w:rsidRPr="00C51C36" w:rsidRDefault="00C51C36" w:rsidP="00C51C36">
            <w:pPr>
              <w:pStyle w:val="Default"/>
              <w:jc w:val="both"/>
              <w:rPr>
                <w:sz w:val="20"/>
                <w:szCs w:val="20"/>
              </w:rPr>
            </w:pPr>
            <w:r w:rsidRPr="00C51C36">
              <w:rPr>
                <w:sz w:val="20"/>
                <w:szCs w:val="20"/>
              </w:rPr>
              <w:t xml:space="preserve">Fica evidenciado que para adolescentes a elaboração </w:t>
            </w:r>
            <w:r w:rsidRPr="00C51C36">
              <w:rPr>
                <w:sz w:val="20"/>
                <w:szCs w:val="20"/>
              </w:rPr>
              <w:t>de blogs é uma estratégia viável e de fácil execução.</w:t>
            </w:r>
          </w:p>
        </w:tc>
      </w:tr>
      <w:tr w:rsidR="00832469" w14:paraId="7ADC506C" w14:textId="77777777" w:rsidTr="008374D3">
        <w:tc>
          <w:tcPr>
            <w:tcW w:w="1589" w:type="dxa"/>
          </w:tcPr>
          <w:p w14:paraId="67BB3B00" w14:textId="7ADBC312" w:rsidR="00832469" w:rsidRDefault="008374D3" w:rsidP="00832469">
            <w:pPr>
              <w:rPr>
                <w:rFonts w:cs="Arial"/>
                <w:sz w:val="20"/>
                <w:szCs w:val="20"/>
              </w:rPr>
            </w:pPr>
            <w:r>
              <w:rPr>
                <w:rFonts w:cs="Arial"/>
                <w:sz w:val="20"/>
                <w:szCs w:val="20"/>
              </w:rPr>
              <w:lastRenderedPageBreak/>
              <w:t>Gomes</w:t>
            </w:r>
            <w:r w:rsidRPr="008374D3">
              <w:rPr>
                <w:rFonts w:cs="Arial"/>
                <w:sz w:val="20"/>
                <w:szCs w:val="20"/>
                <w:vertAlign w:val="superscript"/>
              </w:rPr>
              <w:t>16</w:t>
            </w:r>
          </w:p>
        </w:tc>
        <w:tc>
          <w:tcPr>
            <w:tcW w:w="2265" w:type="dxa"/>
          </w:tcPr>
          <w:p w14:paraId="14D34EFC" w14:textId="29B4972E" w:rsidR="00832469" w:rsidRDefault="00863612" w:rsidP="00863612">
            <w:pPr>
              <w:pStyle w:val="Default"/>
              <w:jc w:val="both"/>
              <w:rPr>
                <w:sz w:val="20"/>
                <w:szCs w:val="20"/>
              </w:rPr>
            </w:pPr>
            <w:r>
              <w:rPr>
                <w:sz w:val="20"/>
                <w:szCs w:val="20"/>
              </w:rPr>
              <w:t xml:space="preserve">Discutir e propor alternativas para im-plementação de ações educativas em saúde, enfocando a temática sexualidade de forma ampla sem excluir o tema gravidez na adolescência. </w:t>
            </w:r>
          </w:p>
        </w:tc>
        <w:tc>
          <w:tcPr>
            <w:tcW w:w="2265" w:type="dxa"/>
          </w:tcPr>
          <w:p w14:paraId="2DBE1DBF" w14:textId="77777777" w:rsidR="00C51C36" w:rsidRDefault="00C51C36" w:rsidP="00C51C36">
            <w:pPr>
              <w:pStyle w:val="Default"/>
              <w:jc w:val="both"/>
              <w:rPr>
                <w:sz w:val="20"/>
                <w:szCs w:val="20"/>
              </w:rPr>
            </w:pPr>
            <w:r>
              <w:rPr>
                <w:sz w:val="20"/>
                <w:szCs w:val="20"/>
              </w:rPr>
              <w:t xml:space="preserve">Relato de caso. </w:t>
            </w:r>
          </w:p>
          <w:p w14:paraId="0989E72D" w14:textId="77777777" w:rsidR="00832469" w:rsidRDefault="00832469" w:rsidP="00832469">
            <w:pPr>
              <w:rPr>
                <w:rFonts w:cs="Arial"/>
                <w:sz w:val="20"/>
                <w:szCs w:val="20"/>
              </w:rPr>
            </w:pPr>
          </w:p>
        </w:tc>
        <w:tc>
          <w:tcPr>
            <w:tcW w:w="2266" w:type="dxa"/>
          </w:tcPr>
          <w:p w14:paraId="7A1DF6BE" w14:textId="77777777" w:rsidR="00C51C36" w:rsidRPr="00C51C36" w:rsidRDefault="00C51C36" w:rsidP="00C51C36">
            <w:pPr>
              <w:pStyle w:val="Default"/>
              <w:jc w:val="both"/>
              <w:rPr>
                <w:sz w:val="20"/>
                <w:szCs w:val="20"/>
              </w:rPr>
            </w:pPr>
            <w:r w:rsidRPr="00C51C36">
              <w:rPr>
                <w:sz w:val="20"/>
                <w:szCs w:val="20"/>
              </w:rPr>
              <w:t xml:space="preserve">Percebeu-se a necessidade de solidificação de vínculo e para que isto aconteça, o profissional de </w:t>
            </w:r>
          </w:p>
          <w:p w14:paraId="3D0424DC" w14:textId="77777777" w:rsidR="00C51C36" w:rsidRPr="00C51C36" w:rsidRDefault="00C51C36" w:rsidP="00C51C36">
            <w:pPr>
              <w:pStyle w:val="Default"/>
              <w:jc w:val="both"/>
              <w:rPr>
                <w:sz w:val="20"/>
                <w:szCs w:val="20"/>
              </w:rPr>
            </w:pPr>
            <w:r w:rsidRPr="00C51C36">
              <w:rPr>
                <w:sz w:val="20"/>
                <w:szCs w:val="20"/>
              </w:rPr>
              <w:t xml:space="preserve">saúde, especificamente o enfermeiro, </w:t>
            </w:r>
          </w:p>
          <w:p w14:paraId="73F330B8" w14:textId="77777777" w:rsidR="00C51C36" w:rsidRPr="00C51C36" w:rsidRDefault="00C51C36" w:rsidP="00C51C36">
            <w:pPr>
              <w:pStyle w:val="Default"/>
              <w:jc w:val="both"/>
              <w:rPr>
                <w:sz w:val="20"/>
                <w:szCs w:val="20"/>
              </w:rPr>
            </w:pPr>
            <w:r w:rsidRPr="00C51C36">
              <w:rPr>
                <w:sz w:val="20"/>
                <w:szCs w:val="20"/>
              </w:rPr>
              <w:t xml:space="preserve">deverá fazer parte desse cuidado integral na perspectiva </w:t>
            </w:r>
          </w:p>
          <w:p w14:paraId="762ABD0C" w14:textId="10697D9B" w:rsidR="00C51C36" w:rsidRPr="00C51C36" w:rsidRDefault="00C51C36" w:rsidP="00C51C36">
            <w:pPr>
              <w:pStyle w:val="Default"/>
              <w:jc w:val="both"/>
              <w:rPr>
                <w:sz w:val="20"/>
                <w:szCs w:val="20"/>
              </w:rPr>
            </w:pPr>
            <w:r w:rsidRPr="00C51C36">
              <w:rPr>
                <w:sz w:val="20"/>
                <w:szCs w:val="20"/>
              </w:rPr>
              <w:t>de educação em saúde</w:t>
            </w:r>
            <w:r w:rsidRPr="00C51C36">
              <w:rPr>
                <w:sz w:val="20"/>
                <w:szCs w:val="20"/>
              </w:rPr>
              <w:t>.</w:t>
            </w:r>
          </w:p>
          <w:p w14:paraId="0A7663B8" w14:textId="77777777" w:rsidR="00832469" w:rsidRPr="00C51C36" w:rsidRDefault="00832469" w:rsidP="00832469">
            <w:pPr>
              <w:rPr>
                <w:rFonts w:cs="Arial"/>
                <w:sz w:val="20"/>
                <w:szCs w:val="20"/>
              </w:rPr>
            </w:pPr>
          </w:p>
        </w:tc>
      </w:tr>
    </w:tbl>
    <w:p w14:paraId="26685DD0" w14:textId="77777777" w:rsidR="00832469" w:rsidRPr="00832469" w:rsidRDefault="00832469" w:rsidP="00832469">
      <w:pPr>
        <w:rPr>
          <w:rFonts w:cs="Arial"/>
          <w:sz w:val="20"/>
          <w:szCs w:val="20"/>
        </w:rPr>
      </w:pPr>
    </w:p>
    <w:sectPr w:rsidR="00832469" w:rsidRPr="00832469" w:rsidSect="00556AC7">
      <w:type w:val="continuous"/>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117F" w14:textId="77777777" w:rsidR="00E52910" w:rsidRDefault="00E52910" w:rsidP="000E51B8">
      <w:pPr>
        <w:spacing w:after="0"/>
      </w:pPr>
      <w:r>
        <w:separator/>
      </w:r>
    </w:p>
  </w:endnote>
  <w:endnote w:type="continuationSeparator" w:id="0">
    <w:p w14:paraId="08FB5C5F" w14:textId="77777777" w:rsidR="00E52910" w:rsidRDefault="00E52910"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A6E2" w14:textId="77777777" w:rsidR="00E52910" w:rsidRDefault="00E52910" w:rsidP="000E51B8">
      <w:pPr>
        <w:spacing w:after="0"/>
      </w:pPr>
      <w:r>
        <w:separator/>
      </w:r>
    </w:p>
  </w:footnote>
  <w:footnote w:type="continuationSeparator" w:id="0">
    <w:p w14:paraId="5178440D" w14:textId="77777777" w:rsidR="00E52910" w:rsidRDefault="00E52910"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E630" w14:textId="23E412CB" w:rsidR="00454373" w:rsidRDefault="00EC1491" w:rsidP="00EC1491">
    <w:pPr>
      <w:pStyle w:val="Cabealho"/>
      <w:jc w:val="right"/>
    </w:pPr>
    <w:r>
      <w:t xml:space="preserve">Artigo </w:t>
    </w:r>
    <w:r w:rsidR="002551EC">
      <w:t>de Revisão</w:t>
    </w:r>
  </w:p>
  <w:p w14:paraId="7FB1B834" w14:textId="77777777" w:rsidR="002551EC" w:rsidRDefault="002551EC" w:rsidP="002551E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202B6"/>
    <w:rsid w:val="000222FE"/>
    <w:rsid w:val="00025150"/>
    <w:rsid w:val="000258A7"/>
    <w:rsid w:val="00026A2D"/>
    <w:rsid w:val="000368F2"/>
    <w:rsid w:val="00051DE1"/>
    <w:rsid w:val="00053B08"/>
    <w:rsid w:val="00073FA2"/>
    <w:rsid w:val="00084281"/>
    <w:rsid w:val="000918F0"/>
    <w:rsid w:val="00093518"/>
    <w:rsid w:val="000A147D"/>
    <w:rsid w:val="000A1817"/>
    <w:rsid w:val="000A18AE"/>
    <w:rsid w:val="000A1E83"/>
    <w:rsid w:val="000A2F6E"/>
    <w:rsid w:val="000D7A2B"/>
    <w:rsid w:val="000E0094"/>
    <w:rsid w:val="000E1F34"/>
    <w:rsid w:val="000E51B8"/>
    <w:rsid w:val="000E74AC"/>
    <w:rsid w:val="000F58BF"/>
    <w:rsid w:val="00105732"/>
    <w:rsid w:val="00106C8C"/>
    <w:rsid w:val="0011199A"/>
    <w:rsid w:val="001256F0"/>
    <w:rsid w:val="00131B47"/>
    <w:rsid w:val="001410EE"/>
    <w:rsid w:val="001602FF"/>
    <w:rsid w:val="001745BC"/>
    <w:rsid w:val="00177CA0"/>
    <w:rsid w:val="0018171F"/>
    <w:rsid w:val="001929EC"/>
    <w:rsid w:val="0019594C"/>
    <w:rsid w:val="001A79A8"/>
    <w:rsid w:val="001B648D"/>
    <w:rsid w:val="001C15FB"/>
    <w:rsid w:val="001D78B0"/>
    <w:rsid w:val="001D7ABE"/>
    <w:rsid w:val="00206220"/>
    <w:rsid w:val="002200CC"/>
    <w:rsid w:val="00222555"/>
    <w:rsid w:val="00223736"/>
    <w:rsid w:val="00227A5A"/>
    <w:rsid w:val="00230682"/>
    <w:rsid w:val="00245702"/>
    <w:rsid w:val="002478A2"/>
    <w:rsid w:val="002551EC"/>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56AC7"/>
    <w:rsid w:val="00566413"/>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506A"/>
    <w:rsid w:val="006555DF"/>
    <w:rsid w:val="006562ED"/>
    <w:rsid w:val="00660357"/>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28A"/>
    <w:rsid w:val="007E3F2A"/>
    <w:rsid w:val="007E5558"/>
    <w:rsid w:val="007E58F4"/>
    <w:rsid w:val="007E5DE8"/>
    <w:rsid w:val="007F1D07"/>
    <w:rsid w:val="007F4391"/>
    <w:rsid w:val="007F4599"/>
    <w:rsid w:val="007F4981"/>
    <w:rsid w:val="007F49C1"/>
    <w:rsid w:val="008007E9"/>
    <w:rsid w:val="008147C5"/>
    <w:rsid w:val="008279A0"/>
    <w:rsid w:val="00832469"/>
    <w:rsid w:val="0083658A"/>
    <w:rsid w:val="008374D3"/>
    <w:rsid w:val="00844BF7"/>
    <w:rsid w:val="00850C19"/>
    <w:rsid w:val="008512B8"/>
    <w:rsid w:val="00851DCF"/>
    <w:rsid w:val="00854647"/>
    <w:rsid w:val="008548D9"/>
    <w:rsid w:val="008622CE"/>
    <w:rsid w:val="00863612"/>
    <w:rsid w:val="0086461D"/>
    <w:rsid w:val="008726C5"/>
    <w:rsid w:val="008804BE"/>
    <w:rsid w:val="0088757B"/>
    <w:rsid w:val="008A5940"/>
    <w:rsid w:val="008B09D7"/>
    <w:rsid w:val="008D0697"/>
    <w:rsid w:val="008D4A86"/>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61BA9"/>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BC57E7"/>
    <w:rsid w:val="00C00A69"/>
    <w:rsid w:val="00C068E2"/>
    <w:rsid w:val="00C10C72"/>
    <w:rsid w:val="00C13AE2"/>
    <w:rsid w:val="00C32157"/>
    <w:rsid w:val="00C342E9"/>
    <w:rsid w:val="00C34458"/>
    <w:rsid w:val="00C368C5"/>
    <w:rsid w:val="00C45B89"/>
    <w:rsid w:val="00C51C36"/>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41E9A"/>
    <w:rsid w:val="00D62C11"/>
    <w:rsid w:val="00D64872"/>
    <w:rsid w:val="00D67F13"/>
    <w:rsid w:val="00D80DA2"/>
    <w:rsid w:val="00D966F5"/>
    <w:rsid w:val="00DB25AF"/>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048C"/>
    <w:rsid w:val="00E52910"/>
    <w:rsid w:val="00E579E1"/>
    <w:rsid w:val="00E65339"/>
    <w:rsid w:val="00E67CAA"/>
    <w:rsid w:val="00E87470"/>
    <w:rsid w:val="00E962C4"/>
    <w:rsid w:val="00EB4D56"/>
    <w:rsid w:val="00EB7607"/>
    <w:rsid w:val="00EC1491"/>
    <w:rsid w:val="00EC51E6"/>
    <w:rsid w:val="00ED086E"/>
    <w:rsid w:val="00ED0AF1"/>
    <w:rsid w:val="00ED4265"/>
    <w:rsid w:val="00F03658"/>
    <w:rsid w:val="00F06B18"/>
    <w:rsid w:val="00F17528"/>
    <w:rsid w:val="00F17F97"/>
    <w:rsid w:val="00F2188F"/>
    <w:rsid w:val="00F24F13"/>
    <w:rsid w:val="00F26439"/>
    <w:rsid w:val="00F31D35"/>
    <w:rsid w:val="00F3319B"/>
    <w:rsid w:val="00F33FFB"/>
    <w:rsid w:val="00F36AF1"/>
    <w:rsid w:val="00F36F38"/>
    <w:rsid w:val="00F4056A"/>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emEspaamento">
    <w:name w:val="No Spacing"/>
    <w:uiPriority w:val="1"/>
    <w:qFormat/>
    <w:rsid w:val="0018171F"/>
    <w:pPr>
      <w:spacing w:after="0"/>
    </w:pPr>
  </w:style>
  <w:style w:type="table" w:styleId="ListaClara-nfase3">
    <w:name w:val="Light List Accent 3"/>
    <w:basedOn w:val="Tabelanormal"/>
    <w:uiPriority w:val="61"/>
    <w:rsid w:val="0018171F"/>
    <w:pPr>
      <w:spacing w:after="0"/>
      <w:jc w:val="left"/>
    </w:pPr>
    <w:rPr>
      <w:rFonts w:asciiTheme="minorHAnsi" w:eastAsiaTheme="minorHAnsi" w:hAnsiTheme="minorHAnsi" w:cstheme="minorBidi"/>
      <w:sz w:val="20"/>
      <w:szCs w:val="20"/>
      <w:lang w:eastAsia="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elacomgrade">
    <w:name w:val="Table Grid"/>
    <w:basedOn w:val="Tabelanormal"/>
    <w:uiPriority w:val="59"/>
    <w:rsid w:val="008324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469"/>
    <w:pPr>
      <w:autoSpaceDE w:val="0"/>
      <w:autoSpaceDN w:val="0"/>
      <w:adjustRightInd w:val="0"/>
      <w:spacing w:after="0"/>
      <w:jc w:val="left"/>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2436</Words>
  <Characters>13159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3</cp:revision>
  <cp:lastPrinted>2020-12-09T15:10:00Z</cp:lastPrinted>
  <dcterms:created xsi:type="dcterms:W3CDTF">2021-04-18T01:51:00Z</dcterms:created>
  <dcterms:modified xsi:type="dcterms:W3CDTF">2021-09-28T17:42:00Z</dcterms:modified>
</cp:coreProperties>
</file>